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2189" w:rsidRDefault="00FD238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Pr>
          <w:rFonts w:ascii="Arial" w:hAnsi="Arial" w:cs="Arial" w:hint="eastAsia"/>
          <w:b/>
          <w:bCs/>
          <w:snapToGrid w:val="0"/>
          <w:kern w:val="0"/>
          <w:sz w:val="24"/>
        </w:rPr>
        <w:t>2</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R2-20</w:t>
      </w:r>
      <w:r w:rsidR="009B54BB">
        <w:rPr>
          <w:rFonts w:ascii="Arial" w:hAnsi="Arial" w:cs="Arial" w:hint="eastAsia"/>
          <w:b/>
          <w:bCs/>
          <w:snapToGrid w:val="0"/>
          <w:kern w:val="0"/>
          <w:sz w:val="24"/>
        </w:rPr>
        <w:t>09804</w:t>
      </w:r>
    </w:p>
    <w:p w:rsidR="001C2189" w:rsidRDefault="00FD238F">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Electronic, 2</w:t>
      </w:r>
      <w:r>
        <w:rPr>
          <w:rFonts w:ascii="Arial" w:hAnsi="Arial" w:cs="Arial" w:hint="eastAsia"/>
          <w:b/>
          <w:bCs/>
          <w:kern w:val="0"/>
          <w:sz w:val="24"/>
          <w:vertAlign w:val="superscript"/>
        </w:rPr>
        <w:t>nd</w:t>
      </w:r>
      <w:r>
        <w:rPr>
          <w:rFonts w:ascii="Arial" w:hAnsi="Arial" w:cs="Arial" w:hint="eastAsia"/>
          <w:b/>
          <w:bCs/>
          <w:kern w:val="0"/>
          <w:sz w:val="24"/>
        </w:rPr>
        <w:t xml:space="preserve"> - 13</w:t>
      </w:r>
      <w:r>
        <w:rPr>
          <w:rFonts w:ascii="Arial" w:hAnsi="Arial" w:cs="Arial" w:hint="eastAsia"/>
          <w:b/>
          <w:bCs/>
          <w:kern w:val="0"/>
          <w:sz w:val="24"/>
          <w:vertAlign w:val="superscript"/>
        </w:rPr>
        <w:t>th</w:t>
      </w:r>
      <w:r>
        <w:rPr>
          <w:rFonts w:ascii="Arial" w:hAnsi="Arial" w:cs="Arial" w:hint="eastAsia"/>
          <w:b/>
          <w:bCs/>
          <w:kern w:val="0"/>
          <w:sz w:val="24"/>
        </w:rPr>
        <w:t xml:space="preserve"> November</w:t>
      </w:r>
      <w:r>
        <w:rPr>
          <w:rFonts w:ascii="Arial" w:hAnsi="Arial" w:cs="Arial"/>
          <w:b/>
          <w:bCs/>
          <w:kern w:val="0"/>
          <w:sz w:val="24"/>
        </w:rPr>
        <w:t xml:space="preserve"> </w:t>
      </w:r>
      <w:r>
        <w:rPr>
          <w:rFonts w:ascii="Arial" w:hAnsi="Arial" w:cs="Arial" w:hint="eastAsia"/>
          <w:b/>
          <w:bCs/>
          <w:kern w:val="0"/>
          <w:sz w:val="24"/>
        </w:rPr>
        <w:t>2020</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p>
    <w:p w:rsidR="001C2189" w:rsidRDefault="00FD238F">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1C2189" w:rsidRDefault="00FD238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1C2189" w:rsidRDefault="00FD238F">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Consideration on the measurement configuration and reporting in NTN</w:t>
      </w:r>
    </w:p>
    <w:p w:rsidR="001C2189" w:rsidRDefault="00FD238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8.10.3.3</w:t>
      </w:r>
    </w:p>
    <w:p w:rsidR="001C2189" w:rsidRDefault="00FD238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1C2189" w:rsidRDefault="00FD238F">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1C2189" w:rsidRDefault="00FD238F">
      <w:pPr>
        <w:spacing w:line="240" w:lineRule="auto"/>
        <w:jc w:val="left"/>
        <w:rPr>
          <w:sz w:val="20"/>
          <w:szCs w:val="20"/>
        </w:rPr>
      </w:pPr>
      <w:r>
        <w:rPr>
          <w:rFonts w:hint="eastAsia"/>
          <w:sz w:val="20"/>
          <w:szCs w:val="20"/>
        </w:rPr>
        <w:t>During email discussion, there has been some initial discussion on the measurement configuration and reporting in email discussion [Post111-e] [911] [NTN] Connected mode aspects [1]. In this paper, we share some further understanding on this issue, focusing on UE locatio</w:t>
      </w:r>
      <w:r w:rsidR="00874735">
        <w:rPr>
          <w:rFonts w:hint="eastAsia"/>
          <w:sz w:val="20"/>
          <w:szCs w:val="20"/>
        </w:rPr>
        <w:t>n report and measurement window configuration</w:t>
      </w:r>
      <w:r>
        <w:rPr>
          <w:rFonts w:hint="eastAsia"/>
          <w:sz w:val="20"/>
          <w:szCs w:val="20"/>
        </w:rPr>
        <w:t>.</w:t>
      </w:r>
    </w:p>
    <w:p w:rsidR="001C2189" w:rsidRDefault="00FD238F">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0"/>
          <w:szCs w:val="30"/>
        </w:rPr>
      </w:pPr>
      <w:r>
        <w:rPr>
          <w:rFonts w:ascii="Arial" w:hAnsi="Arial" w:cs="Arial"/>
          <w:b w:val="0"/>
          <w:bCs w:val="0"/>
          <w:kern w:val="0"/>
          <w:sz w:val="32"/>
          <w:szCs w:val="36"/>
        </w:rPr>
        <w:t>Discussion</w:t>
      </w:r>
      <w:bookmarkStart w:id="2" w:name="_Toc12718547"/>
    </w:p>
    <w:p w:rsidR="001C2189" w:rsidRDefault="00FD238F">
      <w:pPr>
        <w:pStyle w:val="Heading2"/>
        <w:numPr>
          <w:ilvl w:val="1"/>
          <w:numId w:val="3"/>
        </w:numPr>
        <w:rPr>
          <w:rFonts w:eastAsia="宋体"/>
          <w:b w:val="0"/>
          <w:bCs w:val="0"/>
          <w:sz w:val="30"/>
          <w:szCs w:val="30"/>
          <w:lang w:val="en-US"/>
        </w:rPr>
      </w:pPr>
      <w:r>
        <w:rPr>
          <w:rFonts w:eastAsia="宋体" w:hint="eastAsia"/>
          <w:b w:val="0"/>
          <w:bCs w:val="0"/>
          <w:sz w:val="30"/>
          <w:szCs w:val="30"/>
          <w:lang w:val="en-US"/>
        </w:rPr>
        <w:t>UE location report</w:t>
      </w:r>
    </w:p>
    <w:p w:rsidR="001C2189" w:rsidRDefault="00FD238F">
      <w:pPr>
        <w:spacing w:line="240" w:lineRule="auto"/>
        <w:jc w:val="left"/>
        <w:rPr>
          <w:sz w:val="20"/>
          <w:szCs w:val="20"/>
        </w:rPr>
      </w:pPr>
      <w:r>
        <w:rPr>
          <w:rFonts w:hint="eastAsia"/>
          <w:sz w:val="20"/>
          <w:szCs w:val="20"/>
        </w:rPr>
        <w:t>There has been initial discussion on UE location report during email discussion [Post111-e] [911] [NTN] Connected mode aspects and most companies understand that permission from UE is needed for the network to collect the UE location information in NTN for the purpose other than SON/MDT. If the UE location information is collected for other purpose, the UE consent for SON/MDT cannot be reused and a similar but independent procedure for permission should be considered. With such understanding, we observe that not all the NTN UE would allow network to collect its location information.</w:t>
      </w:r>
    </w:p>
    <w:p w:rsidR="001C2189" w:rsidRDefault="00FD238F">
      <w:pPr>
        <w:spacing w:line="240" w:lineRule="auto"/>
        <w:jc w:val="left"/>
        <w:rPr>
          <w:b/>
          <w:bCs/>
          <w:sz w:val="20"/>
          <w:szCs w:val="20"/>
        </w:rPr>
      </w:pPr>
      <w:r>
        <w:rPr>
          <w:rFonts w:hint="eastAsia"/>
          <w:b/>
          <w:bCs/>
          <w:sz w:val="20"/>
          <w:szCs w:val="20"/>
        </w:rPr>
        <w:t>Observation 1: Not all the NTN UE would allow network to collect its locat</w:t>
      </w:r>
      <w:r w:rsidR="00611110">
        <w:rPr>
          <w:rFonts w:hint="eastAsia"/>
          <w:b/>
          <w:bCs/>
          <w:sz w:val="20"/>
          <w:szCs w:val="20"/>
        </w:rPr>
        <w:t>ion information and thus it can</w:t>
      </w:r>
      <w:r>
        <w:rPr>
          <w:rFonts w:hint="eastAsia"/>
          <w:b/>
          <w:bCs/>
          <w:sz w:val="20"/>
          <w:szCs w:val="20"/>
        </w:rPr>
        <w:t>not be assumed that UE location is always available at network side.</w:t>
      </w:r>
    </w:p>
    <w:p w:rsidR="001C2189" w:rsidRDefault="00FD238F">
      <w:pPr>
        <w:spacing w:line="240" w:lineRule="auto"/>
        <w:jc w:val="left"/>
        <w:rPr>
          <w:sz w:val="20"/>
          <w:szCs w:val="20"/>
        </w:rPr>
      </w:pPr>
      <w:r>
        <w:rPr>
          <w:rFonts w:hint="eastAsia"/>
          <w:sz w:val="20"/>
          <w:szCs w:val="20"/>
        </w:rPr>
        <w:t>During the email discussion, the following use cases have been identified for UE location report:</w:t>
      </w:r>
    </w:p>
    <w:p w:rsidR="001C2189" w:rsidRDefault="00FD238F">
      <w:pPr>
        <w:numPr>
          <w:ilvl w:val="0"/>
          <w:numId w:val="4"/>
        </w:numPr>
        <w:spacing w:line="240" w:lineRule="auto"/>
        <w:jc w:val="left"/>
        <w:rPr>
          <w:sz w:val="20"/>
          <w:szCs w:val="20"/>
        </w:rPr>
      </w:pPr>
      <w:r>
        <w:rPr>
          <w:rFonts w:hint="eastAsia"/>
          <w:sz w:val="20"/>
          <w:szCs w:val="20"/>
        </w:rPr>
        <w:t>Use case 1: Mobility and service continuity handling</w:t>
      </w:r>
    </w:p>
    <w:p w:rsidR="001C2189" w:rsidRDefault="00FD238F">
      <w:pPr>
        <w:numPr>
          <w:ilvl w:val="0"/>
          <w:numId w:val="4"/>
        </w:numPr>
        <w:spacing w:line="240" w:lineRule="auto"/>
        <w:jc w:val="left"/>
        <w:rPr>
          <w:sz w:val="20"/>
          <w:szCs w:val="20"/>
        </w:rPr>
      </w:pPr>
      <w:r>
        <w:rPr>
          <w:rFonts w:hint="eastAsia"/>
          <w:sz w:val="20"/>
          <w:szCs w:val="20"/>
        </w:rPr>
        <w:t>Use case 2: Measurement configuration</w:t>
      </w:r>
    </w:p>
    <w:p w:rsidR="001C2189" w:rsidRDefault="00FD238F">
      <w:pPr>
        <w:numPr>
          <w:ilvl w:val="0"/>
          <w:numId w:val="4"/>
        </w:numPr>
        <w:spacing w:line="240" w:lineRule="auto"/>
        <w:jc w:val="left"/>
        <w:rPr>
          <w:sz w:val="20"/>
          <w:szCs w:val="20"/>
        </w:rPr>
      </w:pPr>
      <w:r>
        <w:rPr>
          <w:rFonts w:hint="eastAsia"/>
          <w:sz w:val="20"/>
          <w:szCs w:val="20"/>
        </w:rPr>
        <w:t>Use case 3: Registration area management and paging</w:t>
      </w:r>
    </w:p>
    <w:p w:rsidR="001C2189" w:rsidRDefault="00FD238F">
      <w:pPr>
        <w:numPr>
          <w:ilvl w:val="0"/>
          <w:numId w:val="4"/>
        </w:numPr>
        <w:spacing w:line="240" w:lineRule="auto"/>
        <w:jc w:val="left"/>
        <w:rPr>
          <w:sz w:val="20"/>
          <w:szCs w:val="20"/>
          <w:lang w:eastAsia="ko-KR"/>
        </w:rPr>
      </w:pPr>
      <w:r>
        <w:rPr>
          <w:rFonts w:hint="eastAsia"/>
          <w:sz w:val="20"/>
          <w:szCs w:val="20"/>
        </w:rPr>
        <w:t>Use case 4: Scheduling</w:t>
      </w:r>
    </w:p>
    <w:p w:rsidR="001C2189" w:rsidRDefault="00FD238F">
      <w:pPr>
        <w:numPr>
          <w:ilvl w:val="0"/>
          <w:numId w:val="4"/>
        </w:numPr>
        <w:spacing w:line="240" w:lineRule="auto"/>
        <w:jc w:val="left"/>
        <w:rPr>
          <w:sz w:val="20"/>
          <w:szCs w:val="20"/>
        </w:rPr>
      </w:pPr>
      <w:r>
        <w:rPr>
          <w:rFonts w:hint="eastAsia"/>
          <w:sz w:val="20"/>
          <w:szCs w:val="20"/>
        </w:rPr>
        <w:t xml:space="preserve">Use case 5: Enforce </w:t>
      </w:r>
      <w:r>
        <w:rPr>
          <w:rFonts w:hint="eastAsia"/>
          <w:sz w:val="20"/>
          <w:szCs w:val="20"/>
          <w:lang w:eastAsia="ko-KR"/>
        </w:rPr>
        <w:t>country-specific policies</w:t>
      </w:r>
    </w:p>
    <w:p w:rsidR="001C2189" w:rsidRDefault="00FD238F">
      <w:pPr>
        <w:spacing w:line="240" w:lineRule="auto"/>
        <w:jc w:val="left"/>
        <w:rPr>
          <w:sz w:val="20"/>
          <w:szCs w:val="20"/>
        </w:rPr>
      </w:pPr>
      <w:r>
        <w:rPr>
          <w:rFonts w:hint="eastAsia"/>
          <w:sz w:val="20"/>
          <w:szCs w:val="20"/>
        </w:rPr>
        <w:t xml:space="preserve">For use case 1-4, the UE location may be useful for some further enhancement but the existing framework can still work in NTN. While use case 5 is a NTN specific use case which cannot be addressed by existing NR procedures as a NR cell will not cover more than one countries. Considering that not all the NTN UE would allow network to collect its location </w:t>
      </w:r>
      <w:r>
        <w:rPr>
          <w:rFonts w:hint="eastAsia"/>
          <w:sz w:val="20"/>
          <w:szCs w:val="20"/>
        </w:rPr>
        <w:lastRenderedPageBreak/>
        <w:t>information, a common solution applicable for UE allowing location information collection and UE not allowing that should be considered to help NTN cell enforce country-specific policies.</w:t>
      </w:r>
    </w:p>
    <w:p w:rsidR="001C2189" w:rsidRDefault="00FD238F">
      <w:pPr>
        <w:spacing w:line="240" w:lineRule="auto"/>
        <w:jc w:val="left"/>
        <w:rPr>
          <w:b/>
          <w:bCs/>
          <w:sz w:val="20"/>
          <w:szCs w:val="20"/>
        </w:rPr>
      </w:pPr>
      <w:r>
        <w:rPr>
          <w:rFonts w:hint="eastAsia"/>
          <w:b/>
          <w:bCs/>
          <w:sz w:val="20"/>
          <w:szCs w:val="20"/>
        </w:rPr>
        <w:t>Observation 2: A common solution applicable to the cases when UE location is available or unavailable at network side should be considered to help NTN cell identify the country UE is in and enforce country-specific policies accordingly.</w:t>
      </w:r>
    </w:p>
    <w:p w:rsidR="001C2189" w:rsidRDefault="00FD238F">
      <w:pPr>
        <w:jc w:val="left"/>
        <w:rPr>
          <w:b/>
          <w:bCs/>
          <w:sz w:val="20"/>
          <w:szCs w:val="20"/>
        </w:rPr>
      </w:pPr>
      <w:r>
        <w:rPr>
          <w:rFonts w:hint="eastAsia"/>
          <w:sz w:val="20"/>
          <w:szCs w:val="20"/>
        </w:rPr>
        <w:t xml:space="preserve">The following approaches can be considered to acquire coarse-grained UE location information without invasion of </w:t>
      </w:r>
      <w:r>
        <w:rPr>
          <w:sz w:val="20"/>
          <w:szCs w:val="20"/>
        </w:rPr>
        <w:t>u</w:t>
      </w:r>
      <w:r>
        <w:rPr>
          <w:rFonts w:hint="eastAsia"/>
          <w:sz w:val="20"/>
          <w:szCs w:val="20"/>
        </w:rPr>
        <w:t>ser privacy.</w:t>
      </w:r>
    </w:p>
    <w:p w:rsidR="001C2189" w:rsidRDefault="00FD238F">
      <w:pPr>
        <w:numPr>
          <w:ilvl w:val="0"/>
          <w:numId w:val="5"/>
        </w:numPr>
        <w:spacing w:line="240" w:lineRule="auto"/>
        <w:jc w:val="left"/>
        <w:rPr>
          <w:b/>
          <w:bCs/>
          <w:sz w:val="20"/>
          <w:szCs w:val="20"/>
          <w:u w:val="single"/>
        </w:rPr>
      </w:pPr>
      <w:r>
        <w:rPr>
          <w:rFonts w:hint="eastAsia"/>
          <w:b/>
          <w:bCs/>
          <w:sz w:val="20"/>
          <w:szCs w:val="20"/>
          <w:u w:val="single"/>
        </w:rPr>
        <w:t>Approach 1: Enforce country specific policies according to UE reported TN cell information</w:t>
      </w:r>
    </w:p>
    <w:p w:rsidR="001C2189" w:rsidRDefault="00FD238F">
      <w:pPr>
        <w:jc w:val="left"/>
        <w:rPr>
          <w:sz w:val="20"/>
          <w:szCs w:val="20"/>
        </w:rPr>
      </w:pPr>
      <w:r>
        <w:rPr>
          <w:rFonts w:hint="eastAsia"/>
          <w:sz w:val="20"/>
          <w:szCs w:val="20"/>
        </w:rPr>
        <w:t xml:space="preserve">As shown in Figure 1, both TN and NTN cells may be deployed in the same geographical area. </w:t>
      </w:r>
    </w:p>
    <w:p w:rsidR="001C2189" w:rsidRDefault="00FD238F">
      <w:pPr>
        <w:jc w:val="center"/>
        <w:rPr>
          <w:szCs w:val="22"/>
        </w:rPr>
      </w:pPr>
      <w:r>
        <w:rPr>
          <w:szCs w:val="22"/>
        </w:rPr>
        <w:object w:dxaOrig="5535" w:dyaOrig="4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75pt;height:214.5pt" o:ole="">
            <v:imagedata r:id="rId9" o:title=""/>
            <o:lock v:ext="edit" aspectratio="f"/>
          </v:shape>
          <o:OLEObject Type="Embed" ProgID="Visio.Drawing.11" ShapeID="_x0000_i1025" DrawAspect="Content" ObjectID="_1664957714" r:id="rId10"/>
        </w:object>
      </w:r>
    </w:p>
    <w:p w:rsidR="001C2189" w:rsidRDefault="00FD238F">
      <w:pPr>
        <w:jc w:val="center"/>
        <w:rPr>
          <w:sz w:val="20"/>
          <w:szCs w:val="20"/>
        </w:rPr>
      </w:pPr>
      <w:r>
        <w:rPr>
          <w:rFonts w:hint="eastAsia"/>
          <w:sz w:val="20"/>
          <w:szCs w:val="20"/>
        </w:rPr>
        <w:t>Figure 1. An example of TN and NTN cells within the same area</w:t>
      </w:r>
    </w:p>
    <w:p w:rsidR="001C2189" w:rsidRDefault="00FD238F">
      <w:pPr>
        <w:jc w:val="left"/>
        <w:rPr>
          <w:sz w:val="20"/>
          <w:szCs w:val="20"/>
        </w:rPr>
      </w:pPr>
      <w:r>
        <w:rPr>
          <w:rFonts w:hint="eastAsia"/>
          <w:sz w:val="20"/>
          <w:szCs w:val="20"/>
        </w:rPr>
        <w:t>When UE camps on a NTN cell, it can still perform measurements on neighboring TN cells based on the configuration received from the camped NTN cell and tries to receive system information (including PLMN identity,</w:t>
      </w:r>
      <w:r>
        <w:rPr>
          <w:sz w:val="20"/>
          <w:szCs w:val="20"/>
        </w:rPr>
        <w:t xml:space="preserve"> </w:t>
      </w:r>
      <w:r>
        <w:rPr>
          <w:rFonts w:hint="eastAsia"/>
          <w:sz w:val="20"/>
          <w:szCs w:val="20"/>
        </w:rPr>
        <w:t xml:space="preserve">TAI, NCGI and so on) from a TN cell. </w:t>
      </w:r>
    </w:p>
    <w:p w:rsidR="001C2189" w:rsidRDefault="00FD238F">
      <w:pPr>
        <w:jc w:val="left"/>
        <w:rPr>
          <w:sz w:val="20"/>
          <w:szCs w:val="20"/>
        </w:rPr>
      </w:pPr>
      <w:r>
        <w:rPr>
          <w:rFonts w:hint="eastAsia"/>
          <w:sz w:val="20"/>
          <w:szCs w:val="20"/>
        </w:rPr>
        <w:t>PLMN-Id consists of Mobile Country Code (MCC) and Mobile Network Code (MNC).</w:t>
      </w:r>
    </w:p>
    <w:p w:rsidR="001C2189" w:rsidRDefault="00FD238F">
      <w:pPr>
        <w:jc w:val="center"/>
        <w:rPr>
          <w:sz w:val="20"/>
          <w:szCs w:val="20"/>
        </w:rPr>
      </w:pPr>
      <w:r>
        <w:rPr>
          <w:rFonts w:hint="eastAsia"/>
          <w:sz w:val="20"/>
          <w:szCs w:val="20"/>
        </w:rPr>
        <w:t>-</w:t>
      </w:r>
      <w:r>
        <w:rPr>
          <w:rFonts w:hint="eastAsia"/>
          <w:sz w:val="20"/>
          <w:szCs w:val="20"/>
        </w:rPr>
        <w:tab/>
        <w:t>PLMN-Id = MCC || MNC</w:t>
      </w:r>
    </w:p>
    <w:p w:rsidR="001C2189" w:rsidRDefault="00FD238F">
      <w:pPr>
        <w:jc w:val="left"/>
        <w:rPr>
          <w:sz w:val="20"/>
          <w:szCs w:val="20"/>
        </w:rPr>
      </w:pPr>
      <w:r>
        <w:rPr>
          <w:rFonts w:hint="eastAsia"/>
          <w:sz w:val="20"/>
          <w:szCs w:val="20"/>
        </w:rPr>
        <w:t>Such TN cell information (e.g. PLMN identity, TAI and NCGI) can show coarse-grained UE location information. At least which country the UE is in can be reflected by such information (e.g. the MCC in PLMN id).</w:t>
      </w:r>
    </w:p>
    <w:p w:rsidR="001C2189" w:rsidRDefault="00FD238F">
      <w:pPr>
        <w:jc w:val="left"/>
        <w:rPr>
          <w:sz w:val="20"/>
          <w:szCs w:val="20"/>
        </w:rPr>
      </w:pPr>
      <w:r>
        <w:rPr>
          <w:rFonts w:hint="eastAsia"/>
          <w:sz w:val="20"/>
          <w:szCs w:val="20"/>
        </w:rPr>
        <w:t xml:space="preserve">UE can then report such TN cell information (e.g. PLMN identity, </w:t>
      </w:r>
      <w:r>
        <w:rPr>
          <w:sz w:val="20"/>
          <w:szCs w:val="20"/>
        </w:rPr>
        <w:t xml:space="preserve">MCC, </w:t>
      </w:r>
      <w:r>
        <w:rPr>
          <w:rFonts w:hint="eastAsia"/>
          <w:sz w:val="20"/>
          <w:szCs w:val="20"/>
        </w:rPr>
        <w:t xml:space="preserve">TAI and NCGI) to the serving NTN cell via RRC message to help network </w:t>
      </w:r>
      <w:r>
        <w:rPr>
          <w:sz w:val="20"/>
          <w:szCs w:val="20"/>
        </w:rPr>
        <w:t xml:space="preserve">identify the country UE is in and </w:t>
      </w:r>
      <w:r>
        <w:rPr>
          <w:rFonts w:hint="eastAsia"/>
          <w:sz w:val="20"/>
          <w:szCs w:val="20"/>
        </w:rPr>
        <w:t>enforce country-specific policies to this UE.</w:t>
      </w:r>
    </w:p>
    <w:p w:rsidR="001C2189" w:rsidRDefault="00FD238F">
      <w:pPr>
        <w:jc w:val="center"/>
        <w:rPr>
          <w:szCs w:val="22"/>
        </w:rPr>
      </w:pPr>
      <w:r>
        <w:rPr>
          <w:szCs w:val="22"/>
        </w:rPr>
        <w:object w:dxaOrig="7095" w:dyaOrig="3840">
          <v:shape id="_x0000_i1026" type="#_x0000_t75" style="width:354.75pt;height:192pt" o:ole="">
            <v:imagedata r:id="rId11" o:title=""/>
            <o:lock v:ext="edit" aspectratio="f"/>
          </v:shape>
          <o:OLEObject Type="Embed" ProgID="Visio.Drawing.11" ShapeID="_x0000_i1026" DrawAspect="Content" ObjectID="_1664957715" r:id="rId12"/>
        </w:object>
      </w:r>
    </w:p>
    <w:p w:rsidR="001C2189" w:rsidRDefault="00FD238F">
      <w:pPr>
        <w:spacing w:line="240" w:lineRule="auto"/>
        <w:jc w:val="center"/>
        <w:rPr>
          <w:sz w:val="20"/>
          <w:szCs w:val="20"/>
        </w:rPr>
      </w:pPr>
      <w:r>
        <w:rPr>
          <w:rFonts w:hint="eastAsia"/>
          <w:sz w:val="20"/>
          <w:szCs w:val="20"/>
        </w:rPr>
        <w:t>Figure 2. Report TN cell information to NTN network to show UE location</w:t>
      </w:r>
    </w:p>
    <w:p w:rsidR="001C2189" w:rsidRDefault="00FD238F">
      <w:pPr>
        <w:numPr>
          <w:ilvl w:val="0"/>
          <w:numId w:val="5"/>
        </w:numPr>
        <w:spacing w:line="240" w:lineRule="auto"/>
        <w:jc w:val="left"/>
        <w:rPr>
          <w:sz w:val="20"/>
          <w:szCs w:val="20"/>
        </w:rPr>
      </w:pPr>
      <w:r>
        <w:rPr>
          <w:rFonts w:hint="eastAsia"/>
          <w:b/>
          <w:bCs/>
          <w:sz w:val="20"/>
          <w:szCs w:val="20"/>
          <w:u w:val="single"/>
        </w:rPr>
        <w:t>Approach 2: Enforce country specific policies according to location based event triggered measurement report</w:t>
      </w:r>
    </w:p>
    <w:p w:rsidR="001C2189" w:rsidRDefault="00FD238F">
      <w:pPr>
        <w:spacing w:line="240" w:lineRule="auto"/>
        <w:jc w:val="left"/>
        <w:rPr>
          <w:sz w:val="20"/>
          <w:szCs w:val="20"/>
        </w:rPr>
      </w:pPr>
      <w:r>
        <w:rPr>
          <w:rFonts w:hint="eastAsia"/>
          <w:sz w:val="20"/>
          <w:szCs w:val="20"/>
        </w:rPr>
        <w:t>During email discussion, most companies would like to support location-based measurement event in NTN for both moving cell and fixed cell scenario, in which case an area scope will be configured to UE and a measurement report will be triggered when UE moves out of or moves in the area scope configured.</w:t>
      </w:r>
    </w:p>
    <w:p w:rsidR="001C2189" w:rsidRDefault="00FD238F">
      <w:pPr>
        <w:spacing w:line="240" w:lineRule="auto"/>
        <w:jc w:val="left"/>
        <w:rPr>
          <w:sz w:val="20"/>
          <w:szCs w:val="20"/>
        </w:rPr>
      </w:pPr>
      <w:r>
        <w:rPr>
          <w:rFonts w:hint="eastAsia"/>
          <w:sz w:val="20"/>
          <w:szCs w:val="20"/>
        </w:rPr>
        <w:t>The area scope can be configured in the following different ways:</w:t>
      </w:r>
    </w:p>
    <w:p w:rsidR="001C2189" w:rsidRDefault="00FD238F">
      <w:pPr>
        <w:numPr>
          <w:ilvl w:val="0"/>
          <w:numId w:val="6"/>
        </w:numPr>
        <w:spacing w:line="240" w:lineRule="auto"/>
        <w:jc w:val="left"/>
        <w:rPr>
          <w:sz w:val="20"/>
          <w:szCs w:val="20"/>
        </w:rPr>
      </w:pPr>
      <w:r>
        <w:rPr>
          <w:sz w:val="20"/>
          <w:szCs w:val="20"/>
        </w:rPr>
        <w:t>Alt1: A relative area scope, in which case the area scope will change as the movement of satellite.</w:t>
      </w:r>
    </w:p>
    <w:p w:rsidR="001C2189" w:rsidRDefault="00FD238F">
      <w:pPr>
        <w:numPr>
          <w:ilvl w:val="1"/>
          <w:numId w:val="6"/>
        </w:numPr>
        <w:spacing w:line="240" w:lineRule="auto"/>
        <w:jc w:val="left"/>
        <w:rPr>
          <w:sz w:val="20"/>
          <w:szCs w:val="20"/>
        </w:rPr>
      </w:pPr>
      <w:r>
        <w:rPr>
          <w:sz w:val="20"/>
          <w:szCs w:val="20"/>
        </w:rPr>
        <w:t>Alt1-1: The area scope is configured as the relative distance between UE and satellite.</w:t>
      </w:r>
    </w:p>
    <w:p w:rsidR="001C2189" w:rsidRDefault="00FD238F">
      <w:pPr>
        <w:numPr>
          <w:ilvl w:val="1"/>
          <w:numId w:val="6"/>
        </w:numPr>
        <w:spacing w:line="240" w:lineRule="auto"/>
        <w:jc w:val="left"/>
        <w:rPr>
          <w:sz w:val="20"/>
          <w:szCs w:val="20"/>
        </w:rPr>
      </w:pPr>
      <w:r>
        <w:rPr>
          <w:sz w:val="20"/>
          <w:szCs w:val="20"/>
        </w:rPr>
        <w:t>Alt1-2: The area scope is configured as the relative distance between UE and the center of a cell.</w:t>
      </w:r>
    </w:p>
    <w:p w:rsidR="001C2189" w:rsidRDefault="00FD238F">
      <w:pPr>
        <w:numPr>
          <w:ilvl w:val="0"/>
          <w:numId w:val="6"/>
        </w:numPr>
        <w:spacing w:line="240" w:lineRule="auto"/>
        <w:jc w:val="left"/>
        <w:rPr>
          <w:sz w:val="20"/>
          <w:szCs w:val="20"/>
        </w:rPr>
      </w:pPr>
      <w:r>
        <w:rPr>
          <w:sz w:val="20"/>
          <w:szCs w:val="20"/>
        </w:rPr>
        <w:t>Alt2: An absolute area scope, in which case the area scope will not change unless new configuration is received.</w:t>
      </w:r>
    </w:p>
    <w:p w:rsidR="001C2189" w:rsidRDefault="00FD238F">
      <w:pPr>
        <w:numPr>
          <w:ilvl w:val="1"/>
          <w:numId w:val="6"/>
        </w:numPr>
        <w:spacing w:line="240" w:lineRule="auto"/>
        <w:jc w:val="left"/>
        <w:rPr>
          <w:sz w:val="20"/>
          <w:szCs w:val="20"/>
        </w:rPr>
      </w:pPr>
      <w:r>
        <w:rPr>
          <w:sz w:val="20"/>
          <w:szCs w:val="20"/>
        </w:rPr>
        <w:t>Alt2-1: The area scope can be expressed as single reference location (represented by location coordinates) and a radius associated to the reference location.</w:t>
      </w:r>
    </w:p>
    <w:p w:rsidR="001C2189" w:rsidRDefault="00FD238F">
      <w:pPr>
        <w:numPr>
          <w:ilvl w:val="1"/>
          <w:numId w:val="6"/>
        </w:numPr>
        <w:spacing w:line="240" w:lineRule="auto"/>
        <w:jc w:val="left"/>
        <w:rPr>
          <w:sz w:val="20"/>
          <w:szCs w:val="20"/>
        </w:rPr>
      </w:pPr>
      <w:r>
        <w:rPr>
          <w:sz w:val="20"/>
          <w:szCs w:val="20"/>
        </w:rPr>
        <w:t xml:space="preserve">Alt2-2: A list of location coordinates. </w:t>
      </w:r>
    </w:p>
    <w:p w:rsidR="001C2189" w:rsidRDefault="00FD238F">
      <w:pPr>
        <w:numPr>
          <w:ilvl w:val="1"/>
          <w:numId w:val="6"/>
        </w:numPr>
        <w:spacing w:line="240" w:lineRule="auto"/>
        <w:jc w:val="left"/>
        <w:rPr>
          <w:sz w:val="20"/>
          <w:szCs w:val="20"/>
        </w:rPr>
      </w:pPr>
      <w:r>
        <w:rPr>
          <w:rFonts w:hint="eastAsia"/>
          <w:sz w:val="20"/>
          <w:szCs w:val="20"/>
        </w:rPr>
        <w:t>A</w:t>
      </w:r>
      <w:r>
        <w:rPr>
          <w:sz w:val="20"/>
          <w:szCs w:val="20"/>
        </w:rPr>
        <w:t xml:space="preserve">lt2-3: A list of TAI (PLMN + TAC) of TN cells. As shown in Figure </w:t>
      </w:r>
      <w:r>
        <w:rPr>
          <w:rFonts w:hint="eastAsia"/>
          <w:sz w:val="20"/>
          <w:szCs w:val="20"/>
        </w:rPr>
        <w:t>4</w:t>
      </w:r>
      <w:r>
        <w:rPr>
          <w:sz w:val="20"/>
          <w:szCs w:val="20"/>
        </w:rPr>
        <w:t>, a list of TAI of TN cell (e.g. TAI#1 and TAI#3) can be configured to represent the cell edge of the serving NTN cell and UE trigger measurement report when it moves in to this area.</w:t>
      </w:r>
    </w:p>
    <w:p w:rsidR="001C2189" w:rsidRDefault="00FD238F">
      <w:pPr>
        <w:spacing w:line="260" w:lineRule="auto"/>
        <w:jc w:val="center"/>
        <w:rPr>
          <w:rFonts w:ascii="Arial" w:eastAsia="宋体" w:hAnsi="Arial" w:cs="Arial"/>
        </w:rPr>
      </w:pPr>
      <w:r>
        <w:rPr>
          <w:rFonts w:ascii="Arial" w:eastAsia="宋体" w:hAnsi="Arial" w:cs="Arial"/>
        </w:rPr>
        <w:object w:dxaOrig="9030" w:dyaOrig="4230">
          <v:shape id="_x0000_i1027" type="#_x0000_t75" style="width:451.5pt;height:211.5pt" o:ole="">
            <v:imagedata r:id="rId13" o:title=""/>
            <o:lock v:ext="edit" aspectratio="f"/>
          </v:shape>
          <o:OLEObject Type="Embed" ProgID="Visio.Drawing.15" ShapeID="_x0000_i1027" DrawAspect="Content" ObjectID="_1664957716" r:id="rId14"/>
        </w:object>
      </w:r>
    </w:p>
    <w:p w:rsidR="001C2189" w:rsidRDefault="00FD238F">
      <w:pPr>
        <w:widowControl/>
        <w:spacing w:after="0" w:line="240" w:lineRule="auto"/>
        <w:jc w:val="center"/>
        <w:rPr>
          <w:sz w:val="20"/>
          <w:szCs w:val="20"/>
        </w:rPr>
      </w:pPr>
      <w:r>
        <w:rPr>
          <w:rFonts w:hint="eastAsia"/>
          <w:sz w:val="20"/>
          <w:szCs w:val="20"/>
        </w:rPr>
        <w:t>Figure 3. Example of Alt.2-1 and Alt.2-2</w:t>
      </w:r>
    </w:p>
    <w:p w:rsidR="001C2189" w:rsidRDefault="00FD238F">
      <w:pPr>
        <w:spacing w:line="260" w:lineRule="auto"/>
        <w:jc w:val="center"/>
        <w:rPr>
          <w:rFonts w:ascii="Arial" w:eastAsia="宋体" w:hAnsi="Arial" w:cs="Arial"/>
        </w:rPr>
      </w:pPr>
      <w:r>
        <w:rPr>
          <w:rFonts w:ascii="Arial" w:eastAsia="宋体" w:hAnsi="Arial" w:cs="Arial"/>
        </w:rPr>
        <w:object w:dxaOrig="4230" w:dyaOrig="3585">
          <v:shape id="_x0000_i1028" type="#_x0000_t75" style="width:211.5pt;height:179.25pt" o:ole="">
            <v:imagedata r:id="rId15" o:title=""/>
          </v:shape>
          <o:OLEObject Type="Embed" ProgID="Visio.Drawing.15" ShapeID="_x0000_i1028" DrawAspect="Content" ObjectID="_1664957717" r:id="rId16"/>
        </w:object>
      </w:r>
    </w:p>
    <w:p w:rsidR="001C2189" w:rsidRDefault="00FD238F">
      <w:pPr>
        <w:widowControl/>
        <w:numPr>
          <w:ilvl w:val="255"/>
          <w:numId w:val="0"/>
        </w:numPr>
        <w:spacing w:after="0" w:line="240" w:lineRule="auto"/>
        <w:jc w:val="center"/>
        <w:rPr>
          <w:sz w:val="20"/>
          <w:szCs w:val="20"/>
        </w:rPr>
      </w:pPr>
      <w:r>
        <w:rPr>
          <w:rFonts w:hint="eastAsia"/>
          <w:sz w:val="20"/>
          <w:szCs w:val="20"/>
        </w:rPr>
        <w:t>Figure 4. Example of Alt.2-3</w:t>
      </w:r>
    </w:p>
    <w:p w:rsidR="001C2189" w:rsidRDefault="00FD238F">
      <w:pPr>
        <w:spacing w:line="240" w:lineRule="auto"/>
        <w:jc w:val="left"/>
        <w:rPr>
          <w:sz w:val="20"/>
          <w:szCs w:val="20"/>
        </w:rPr>
      </w:pPr>
      <w:r>
        <w:rPr>
          <w:rFonts w:hint="eastAsia"/>
          <w:sz w:val="20"/>
          <w:szCs w:val="20"/>
        </w:rPr>
        <w:t>If an absolute area scope is configured as measurement report triggering event, network would be aware of the general location of UE when measurement report is sent and thus be able to identify the country UE is in and apply country specific policies accordingly.</w:t>
      </w:r>
    </w:p>
    <w:p w:rsidR="001C2189" w:rsidRDefault="00FD238F">
      <w:pPr>
        <w:spacing w:line="240" w:lineRule="auto"/>
        <w:jc w:val="center"/>
        <w:rPr>
          <w:sz w:val="20"/>
          <w:szCs w:val="20"/>
        </w:rPr>
      </w:pPr>
      <w:r>
        <w:rPr>
          <w:sz w:val="20"/>
          <w:szCs w:val="20"/>
        </w:rPr>
        <w:object w:dxaOrig="6345" w:dyaOrig="4245">
          <v:shape id="_x0000_i1029" type="#_x0000_t75" style="width:317.25pt;height:212.25pt" o:ole="">
            <v:imagedata r:id="rId17" o:title=""/>
          </v:shape>
          <o:OLEObject Type="Embed" ProgID="Visio.Drawing.15" ShapeID="_x0000_i1029" DrawAspect="Content" ObjectID="_1664957718" r:id="rId18"/>
        </w:object>
      </w:r>
    </w:p>
    <w:p w:rsidR="001C2189" w:rsidRDefault="00FD238F">
      <w:pPr>
        <w:widowControl/>
        <w:numPr>
          <w:ilvl w:val="255"/>
          <w:numId w:val="0"/>
        </w:numPr>
        <w:spacing w:after="0" w:line="240" w:lineRule="auto"/>
        <w:jc w:val="center"/>
        <w:rPr>
          <w:sz w:val="20"/>
          <w:szCs w:val="20"/>
        </w:rPr>
      </w:pPr>
      <w:r>
        <w:rPr>
          <w:rFonts w:hint="eastAsia"/>
          <w:sz w:val="20"/>
          <w:szCs w:val="20"/>
        </w:rPr>
        <w:t>Figure 5. Example of configuring an absolute area scope at the country border</w:t>
      </w:r>
    </w:p>
    <w:p w:rsidR="001C2189" w:rsidRDefault="00FD238F">
      <w:pPr>
        <w:spacing w:line="240" w:lineRule="auto"/>
        <w:jc w:val="left"/>
        <w:rPr>
          <w:sz w:val="20"/>
          <w:szCs w:val="20"/>
        </w:rPr>
      </w:pPr>
      <w:r>
        <w:rPr>
          <w:rFonts w:hint="eastAsia"/>
          <w:sz w:val="20"/>
          <w:szCs w:val="20"/>
        </w:rPr>
        <w:t>As shown in figure 5, an area scope (expressed as a list of location coordinates) can be configured as the measurement report triggering event and measurement report is sent when UE moves into this area. Upon receiving the measurement report, network would know UE has moved from Mongolia into China even though no actual UE location information is included in the measurement report.</w:t>
      </w:r>
    </w:p>
    <w:p w:rsidR="001C2189" w:rsidRDefault="00FD238F">
      <w:pPr>
        <w:spacing w:line="240" w:lineRule="auto"/>
        <w:jc w:val="left"/>
        <w:rPr>
          <w:b/>
          <w:bCs/>
          <w:sz w:val="20"/>
          <w:szCs w:val="20"/>
        </w:rPr>
      </w:pPr>
      <w:r>
        <w:rPr>
          <w:rFonts w:hint="eastAsia"/>
          <w:b/>
          <w:bCs/>
          <w:sz w:val="20"/>
          <w:szCs w:val="20"/>
        </w:rPr>
        <w:t>Proposal 1: The following approaches should be considered to help network identify the country UE is in and enforce country-specific policies:</w:t>
      </w:r>
    </w:p>
    <w:p w:rsidR="001C2189" w:rsidRDefault="00FD238F">
      <w:pPr>
        <w:numPr>
          <w:ilvl w:val="0"/>
          <w:numId w:val="7"/>
        </w:numPr>
        <w:spacing w:line="240" w:lineRule="auto"/>
        <w:jc w:val="left"/>
        <w:rPr>
          <w:b/>
          <w:bCs/>
          <w:sz w:val="20"/>
          <w:szCs w:val="20"/>
        </w:rPr>
      </w:pPr>
      <w:r>
        <w:rPr>
          <w:rFonts w:hint="eastAsia"/>
          <w:b/>
          <w:bCs/>
          <w:sz w:val="20"/>
          <w:szCs w:val="20"/>
        </w:rPr>
        <w:t>Approach 1: UE acquires the system information from TN cells and report TN cell information (e.g. PLMN identity or MCC) to the serving NTN cell.</w:t>
      </w:r>
    </w:p>
    <w:p w:rsidR="001C2189" w:rsidRDefault="00FD238F">
      <w:pPr>
        <w:numPr>
          <w:ilvl w:val="0"/>
          <w:numId w:val="7"/>
        </w:numPr>
        <w:spacing w:line="240" w:lineRule="auto"/>
        <w:jc w:val="left"/>
        <w:rPr>
          <w:sz w:val="20"/>
          <w:szCs w:val="20"/>
        </w:rPr>
      </w:pPr>
      <w:r>
        <w:rPr>
          <w:rFonts w:hint="eastAsia"/>
          <w:b/>
          <w:bCs/>
          <w:sz w:val="20"/>
          <w:szCs w:val="20"/>
        </w:rPr>
        <w:t>Approach 2: Network configures location based measurement event and identifies the country UE is in based on the received measurement</w:t>
      </w:r>
      <w:r>
        <w:rPr>
          <w:b/>
          <w:bCs/>
          <w:sz w:val="20"/>
          <w:szCs w:val="20"/>
        </w:rPr>
        <w:t xml:space="preserve"> report</w:t>
      </w:r>
      <w:r>
        <w:rPr>
          <w:rFonts w:hint="eastAsia"/>
          <w:b/>
          <w:bCs/>
          <w:sz w:val="20"/>
          <w:szCs w:val="20"/>
        </w:rPr>
        <w:t>.</w:t>
      </w:r>
    </w:p>
    <w:p w:rsidR="001C2189" w:rsidRDefault="00FD238F">
      <w:pPr>
        <w:pStyle w:val="Heading2"/>
        <w:numPr>
          <w:ilvl w:val="1"/>
          <w:numId w:val="3"/>
        </w:numPr>
        <w:rPr>
          <w:rFonts w:eastAsia="宋体"/>
          <w:b w:val="0"/>
          <w:bCs w:val="0"/>
          <w:sz w:val="30"/>
          <w:szCs w:val="30"/>
          <w:lang w:val="en-US"/>
        </w:rPr>
      </w:pPr>
      <w:r>
        <w:rPr>
          <w:rFonts w:eastAsia="宋体" w:hint="eastAsia"/>
          <w:b w:val="0"/>
          <w:bCs w:val="0"/>
          <w:sz w:val="30"/>
          <w:szCs w:val="30"/>
          <w:lang w:val="en-US"/>
        </w:rPr>
        <w:t>Measurement window configuration</w:t>
      </w:r>
    </w:p>
    <w:p w:rsidR="001C2189" w:rsidRDefault="00FD238F">
      <w:pPr>
        <w:spacing w:line="240" w:lineRule="auto"/>
        <w:jc w:val="left"/>
        <w:rPr>
          <w:sz w:val="20"/>
          <w:szCs w:val="20"/>
        </w:rPr>
      </w:pPr>
      <w:r>
        <w:rPr>
          <w:rFonts w:hint="eastAsia"/>
          <w:sz w:val="20"/>
          <w:szCs w:val="20"/>
        </w:rPr>
        <w:t>The following objective has been included in this WI</w:t>
      </w:r>
      <w:r w:rsidR="008772F4">
        <w:rPr>
          <w:rFonts w:hint="eastAsia"/>
          <w:sz w:val="20"/>
          <w:szCs w:val="20"/>
        </w:rPr>
        <w:t xml:space="preserve"> [2]</w:t>
      </w:r>
      <w:r>
        <w:rPr>
          <w:rFonts w:hint="eastAsia"/>
          <w:sz w:val="20"/>
          <w:szCs w:val="20"/>
        </w:rPr>
        <w:t>.</w:t>
      </w:r>
    </w:p>
    <w:p w:rsidR="001C2189" w:rsidRDefault="00FD238F">
      <w:pPr>
        <w:spacing w:line="240" w:lineRule="auto"/>
        <w:jc w:val="left"/>
        <w:rPr>
          <w:i/>
          <w:iCs/>
          <w:sz w:val="20"/>
          <w:szCs w:val="20"/>
        </w:rPr>
      </w:pPr>
      <w:r>
        <w:rPr>
          <w:rFonts w:hint="eastAsia"/>
          <w:i/>
          <w:iCs/>
          <w:sz w:val="20"/>
          <w:szCs w:val="20"/>
        </w:rPr>
        <w:t>Enhancement to existing measurement configurations to address absolute propagation delay difference between satellites (e.g. SMTC measurement gap adaptation to the SSB/CSI-RS measurement window) [RAN2/4].</w:t>
      </w:r>
    </w:p>
    <w:p w:rsidR="001C2189" w:rsidRDefault="00FD238F">
      <w:pPr>
        <w:jc w:val="center"/>
      </w:pPr>
      <w:r>
        <w:object w:dxaOrig="8160" w:dyaOrig="4140">
          <v:shape id="_x0000_i1030" type="#_x0000_t75" style="width:408pt;height:207pt" o:ole="">
            <v:imagedata r:id="rId19" o:title=""/>
            <o:lock v:ext="edit" aspectratio="f"/>
          </v:shape>
          <o:OLEObject Type="Embed" ProgID="Visio.Drawing.15" ShapeID="_x0000_i1030" DrawAspect="Content" ObjectID="_1664957719" r:id="rId20"/>
        </w:object>
      </w:r>
    </w:p>
    <w:p w:rsidR="001C2189" w:rsidRDefault="00FD238F">
      <w:pPr>
        <w:spacing w:line="240" w:lineRule="auto"/>
        <w:jc w:val="center"/>
        <w:rPr>
          <w:sz w:val="20"/>
          <w:szCs w:val="20"/>
        </w:rPr>
      </w:pPr>
      <w:r>
        <w:rPr>
          <w:rFonts w:hint="eastAsia"/>
          <w:sz w:val="20"/>
          <w:szCs w:val="20"/>
        </w:rPr>
        <w:t>Figure 6. Propagation delay difference between satellites</w:t>
      </w:r>
    </w:p>
    <w:p w:rsidR="001C2189" w:rsidRDefault="00FD238F">
      <w:pPr>
        <w:spacing w:line="240" w:lineRule="auto"/>
        <w:rPr>
          <w:sz w:val="20"/>
          <w:szCs w:val="20"/>
        </w:rPr>
      </w:pPr>
      <w:r>
        <w:rPr>
          <w:rFonts w:hint="eastAsia"/>
          <w:sz w:val="20"/>
          <w:szCs w:val="20"/>
        </w:rPr>
        <w:t>As shown in Figure 6, a UE served by a LEO satellite S2, will be covered by an incoming LEO satellite S1. The UE should perform measurements of the neighboring cells originating from S1 for mobility purposes based on the measurement configuration provided to the UE, however the propagation delay difference from the UE to satellite S1 and the UE to satellite S2 may vary. If the SMTC and measurement gap configuration does not consider the propagation delay difference, the UE may miss the SSB/CSI-RS measurement window and will thus be unable to perform measurements on the configured reference signals.</w:t>
      </w:r>
    </w:p>
    <w:p w:rsidR="001C2189" w:rsidRDefault="00FD238F">
      <w:pPr>
        <w:spacing w:line="240" w:lineRule="auto"/>
        <w:rPr>
          <w:sz w:val="20"/>
          <w:szCs w:val="20"/>
        </w:rPr>
      </w:pPr>
      <w:r>
        <w:rPr>
          <w:rFonts w:hint="eastAsia"/>
          <w:sz w:val="20"/>
          <w:szCs w:val="20"/>
        </w:rPr>
        <w:t xml:space="preserve">During email discussion [Post111-e] [911] [NTN] Connected mode aspects, there has been initial discussion on this issue. </w:t>
      </w:r>
    </w:p>
    <w:p w:rsidR="001C2189" w:rsidRDefault="00FD238F">
      <w:pPr>
        <w:spacing w:line="240" w:lineRule="auto"/>
        <w:rPr>
          <w:sz w:val="20"/>
          <w:szCs w:val="20"/>
        </w:rPr>
      </w:pPr>
      <w:r>
        <w:rPr>
          <w:rFonts w:hint="eastAsia"/>
          <w:sz w:val="20"/>
          <w:szCs w:val="20"/>
        </w:rPr>
        <w:t>The measurement gap length configuration in NR is copied below with candidate value 1.5ms, 3ms, 3.5ms, 4ms, 5.5ms and 6ms.</w:t>
      </w:r>
    </w:p>
    <w:p w:rsidR="001C2189" w:rsidRDefault="00FD238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mgl                                 </w:t>
      </w:r>
      <w:r>
        <w:rPr>
          <w:rFonts w:ascii="Courier New" w:eastAsia="Times New Roman" w:hAnsi="Courier New"/>
          <w:color w:val="993366"/>
          <w:kern w:val="0"/>
          <w:sz w:val="16"/>
          <w:szCs w:val="20"/>
          <w:lang w:val="en-GB" w:eastAsia="en-GB"/>
        </w:rPr>
        <w:t>ENUMERATED</w:t>
      </w:r>
      <w:r>
        <w:rPr>
          <w:rFonts w:ascii="Courier New" w:eastAsia="Times New Roman" w:hAnsi="Courier New"/>
          <w:kern w:val="0"/>
          <w:sz w:val="16"/>
          <w:szCs w:val="20"/>
          <w:lang w:val="en-GB" w:eastAsia="en-GB"/>
        </w:rPr>
        <w:t xml:space="preserve"> {ms1dot5, ms3, ms3dot5, ms4, ms5dot5, ms6},</w:t>
      </w:r>
    </w:p>
    <w:p w:rsidR="001C2189" w:rsidRDefault="00FD238F">
      <w:pPr>
        <w:spacing w:line="240" w:lineRule="auto"/>
        <w:rPr>
          <w:sz w:val="20"/>
          <w:szCs w:val="20"/>
        </w:rPr>
      </w:pPr>
      <w:r>
        <w:rPr>
          <w:rFonts w:hint="eastAsia"/>
          <w:sz w:val="20"/>
          <w:szCs w:val="20"/>
        </w:rPr>
        <w:t>The SMTC configuration in NR is shown below and the candidate value of the periodicity of the measurement window in which to receive SS/PBCH blocks are 5ms, 10ms, 20ms, 40ms, 80ms,</w:t>
      </w:r>
      <w:r>
        <w:rPr>
          <w:sz w:val="20"/>
          <w:szCs w:val="20"/>
        </w:rPr>
        <w:t xml:space="preserve"> and </w:t>
      </w:r>
      <w:r>
        <w:rPr>
          <w:rFonts w:hint="eastAsia"/>
          <w:sz w:val="20"/>
          <w:szCs w:val="20"/>
        </w:rPr>
        <w:t>160ms.</w:t>
      </w:r>
    </w:p>
    <w:p w:rsidR="001C2189" w:rsidRDefault="00FD238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SSB-MTC ::=                             </w:t>
      </w:r>
      <w:r>
        <w:rPr>
          <w:rFonts w:ascii="Courier New" w:eastAsia="Times New Roman" w:hAnsi="Courier New"/>
          <w:color w:val="993366"/>
          <w:kern w:val="0"/>
          <w:sz w:val="16"/>
          <w:szCs w:val="20"/>
          <w:lang w:val="en-GB" w:eastAsia="en-GB"/>
        </w:rPr>
        <w:t>SEQUENCE</w:t>
      </w:r>
      <w:r>
        <w:rPr>
          <w:rFonts w:ascii="Courier New" w:eastAsia="Times New Roman" w:hAnsi="Courier New"/>
          <w:kern w:val="0"/>
          <w:sz w:val="16"/>
          <w:szCs w:val="20"/>
          <w:lang w:val="en-GB" w:eastAsia="en-GB"/>
        </w:rPr>
        <w:t xml:space="preserve"> {</w:t>
      </w:r>
    </w:p>
    <w:p w:rsidR="001C2189" w:rsidRDefault="00FD238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periodicityAndOffset                    </w:t>
      </w:r>
      <w:r>
        <w:rPr>
          <w:rFonts w:ascii="Courier New" w:eastAsia="Times New Roman" w:hAnsi="Courier New"/>
          <w:color w:val="993366"/>
          <w:kern w:val="0"/>
          <w:sz w:val="16"/>
          <w:szCs w:val="20"/>
          <w:lang w:val="en-GB" w:eastAsia="en-GB"/>
        </w:rPr>
        <w:t>CHOICE</w:t>
      </w:r>
      <w:r>
        <w:rPr>
          <w:rFonts w:ascii="Courier New" w:eastAsia="Times New Roman" w:hAnsi="Courier New"/>
          <w:kern w:val="0"/>
          <w:sz w:val="16"/>
          <w:szCs w:val="20"/>
          <w:lang w:val="en-GB" w:eastAsia="en-GB"/>
        </w:rPr>
        <w:t xml:space="preserve"> {</w:t>
      </w:r>
    </w:p>
    <w:p w:rsidR="001C2189" w:rsidRDefault="00FD238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sf5                                 </w:t>
      </w:r>
      <w:r>
        <w:rPr>
          <w:rFonts w:ascii="Courier New" w:eastAsia="Times New Roman" w:hAnsi="Courier New"/>
          <w:color w:val="993366"/>
          <w:kern w:val="0"/>
          <w:sz w:val="16"/>
          <w:szCs w:val="20"/>
          <w:lang w:val="en-GB" w:eastAsia="en-GB"/>
        </w:rPr>
        <w:t>INTEGER</w:t>
      </w:r>
      <w:r>
        <w:rPr>
          <w:rFonts w:ascii="Courier New" w:eastAsia="Times New Roman" w:hAnsi="Courier New"/>
          <w:kern w:val="0"/>
          <w:sz w:val="16"/>
          <w:szCs w:val="20"/>
          <w:lang w:val="en-GB" w:eastAsia="en-GB"/>
        </w:rPr>
        <w:t xml:space="preserve"> (0..4),</w:t>
      </w:r>
    </w:p>
    <w:p w:rsidR="001C2189" w:rsidRDefault="00FD238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sf10                                    </w:t>
      </w:r>
      <w:r>
        <w:rPr>
          <w:rFonts w:ascii="Courier New" w:eastAsia="Times New Roman" w:hAnsi="Courier New"/>
          <w:color w:val="993366"/>
          <w:kern w:val="0"/>
          <w:sz w:val="16"/>
          <w:szCs w:val="20"/>
          <w:lang w:val="en-GB" w:eastAsia="en-GB"/>
        </w:rPr>
        <w:t>INTEGER</w:t>
      </w:r>
      <w:r>
        <w:rPr>
          <w:rFonts w:ascii="Courier New" w:eastAsia="Times New Roman" w:hAnsi="Courier New"/>
          <w:kern w:val="0"/>
          <w:sz w:val="16"/>
          <w:szCs w:val="20"/>
          <w:lang w:val="en-GB" w:eastAsia="en-GB"/>
        </w:rPr>
        <w:t xml:space="preserve"> (0..9),</w:t>
      </w:r>
    </w:p>
    <w:p w:rsidR="001C2189" w:rsidRDefault="00FD238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sf20                                    </w:t>
      </w:r>
      <w:r>
        <w:rPr>
          <w:rFonts w:ascii="Courier New" w:eastAsia="Times New Roman" w:hAnsi="Courier New"/>
          <w:color w:val="993366"/>
          <w:kern w:val="0"/>
          <w:sz w:val="16"/>
          <w:szCs w:val="20"/>
          <w:lang w:val="en-GB" w:eastAsia="en-GB"/>
        </w:rPr>
        <w:t>INTEGER</w:t>
      </w:r>
      <w:r>
        <w:rPr>
          <w:rFonts w:ascii="Courier New" w:eastAsia="Times New Roman" w:hAnsi="Courier New"/>
          <w:kern w:val="0"/>
          <w:sz w:val="16"/>
          <w:szCs w:val="20"/>
          <w:lang w:val="en-GB" w:eastAsia="en-GB"/>
        </w:rPr>
        <w:t xml:space="preserve"> (0..19),</w:t>
      </w:r>
    </w:p>
    <w:p w:rsidR="001C2189" w:rsidRDefault="00FD238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sf40                                    </w:t>
      </w:r>
      <w:r>
        <w:rPr>
          <w:rFonts w:ascii="Courier New" w:eastAsia="Times New Roman" w:hAnsi="Courier New"/>
          <w:color w:val="993366"/>
          <w:kern w:val="0"/>
          <w:sz w:val="16"/>
          <w:szCs w:val="20"/>
          <w:lang w:val="en-GB" w:eastAsia="en-GB"/>
        </w:rPr>
        <w:t>INTEGER</w:t>
      </w:r>
      <w:r>
        <w:rPr>
          <w:rFonts w:ascii="Courier New" w:eastAsia="Times New Roman" w:hAnsi="Courier New"/>
          <w:kern w:val="0"/>
          <w:sz w:val="16"/>
          <w:szCs w:val="20"/>
          <w:lang w:val="en-GB" w:eastAsia="en-GB"/>
        </w:rPr>
        <w:t xml:space="preserve"> (0..39),</w:t>
      </w:r>
    </w:p>
    <w:p w:rsidR="001C2189" w:rsidRDefault="00FD238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sf80                                    </w:t>
      </w:r>
      <w:r>
        <w:rPr>
          <w:rFonts w:ascii="Courier New" w:eastAsia="Times New Roman" w:hAnsi="Courier New"/>
          <w:color w:val="993366"/>
          <w:kern w:val="0"/>
          <w:sz w:val="16"/>
          <w:szCs w:val="20"/>
          <w:lang w:val="en-GB" w:eastAsia="en-GB"/>
        </w:rPr>
        <w:t>INTEGER</w:t>
      </w:r>
      <w:r>
        <w:rPr>
          <w:rFonts w:ascii="Courier New" w:eastAsia="Times New Roman" w:hAnsi="Courier New"/>
          <w:kern w:val="0"/>
          <w:sz w:val="16"/>
          <w:szCs w:val="20"/>
          <w:lang w:val="en-GB" w:eastAsia="en-GB"/>
        </w:rPr>
        <w:t xml:space="preserve"> (0..79),</w:t>
      </w:r>
    </w:p>
    <w:p w:rsidR="001C2189" w:rsidRDefault="00FD238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sf160                                   </w:t>
      </w:r>
      <w:r>
        <w:rPr>
          <w:rFonts w:ascii="Courier New" w:eastAsia="Times New Roman" w:hAnsi="Courier New"/>
          <w:color w:val="993366"/>
          <w:kern w:val="0"/>
          <w:sz w:val="16"/>
          <w:szCs w:val="20"/>
          <w:lang w:val="en-GB" w:eastAsia="en-GB"/>
        </w:rPr>
        <w:t>INTEGER</w:t>
      </w:r>
      <w:r>
        <w:rPr>
          <w:rFonts w:ascii="Courier New" w:eastAsia="Times New Roman" w:hAnsi="Courier New"/>
          <w:kern w:val="0"/>
          <w:sz w:val="16"/>
          <w:szCs w:val="20"/>
          <w:lang w:val="en-GB" w:eastAsia="en-GB"/>
        </w:rPr>
        <w:t xml:space="preserve"> (0..159)</w:t>
      </w:r>
    </w:p>
    <w:p w:rsidR="001C2189" w:rsidRDefault="00FD238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
    <w:p w:rsidR="001C2189" w:rsidRDefault="00FD238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duration                                </w:t>
      </w:r>
      <w:r>
        <w:rPr>
          <w:rFonts w:ascii="Courier New" w:eastAsia="Times New Roman" w:hAnsi="Courier New"/>
          <w:color w:val="993366"/>
          <w:kern w:val="0"/>
          <w:sz w:val="16"/>
          <w:szCs w:val="20"/>
          <w:lang w:val="en-GB" w:eastAsia="en-GB"/>
        </w:rPr>
        <w:t>ENUMERATED</w:t>
      </w:r>
      <w:r>
        <w:rPr>
          <w:rFonts w:ascii="Courier New" w:eastAsia="Times New Roman" w:hAnsi="Courier New"/>
          <w:kern w:val="0"/>
          <w:sz w:val="16"/>
          <w:szCs w:val="20"/>
          <w:lang w:val="en-GB" w:eastAsia="en-GB"/>
        </w:rPr>
        <w:t xml:space="preserve"> { sf1, sf2, sf3, sf4, sf5 }</w:t>
      </w:r>
    </w:p>
    <w:p w:rsidR="001C2189" w:rsidRDefault="00FD238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w:t>
      </w:r>
    </w:p>
    <w:p w:rsidR="001C2189" w:rsidRDefault="001C21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1C2189" w:rsidRDefault="00FD238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SSB-MTC2 ::=                        </w:t>
      </w:r>
      <w:r>
        <w:rPr>
          <w:rFonts w:ascii="Courier New" w:eastAsia="Times New Roman" w:hAnsi="Courier New"/>
          <w:color w:val="993366"/>
          <w:kern w:val="0"/>
          <w:sz w:val="16"/>
          <w:szCs w:val="20"/>
          <w:lang w:val="en-GB" w:eastAsia="en-GB"/>
        </w:rPr>
        <w:t>SEQUENCE</w:t>
      </w:r>
      <w:r>
        <w:rPr>
          <w:rFonts w:ascii="Courier New" w:eastAsia="Times New Roman" w:hAnsi="Courier New"/>
          <w:kern w:val="0"/>
          <w:sz w:val="16"/>
          <w:szCs w:val="20"/>
          <w:lang w:val="en-GB" w:eastAsia="en-GB"/>
        </w:rPr>
        <w:t xml:space="preserve"> {</w:t>
      </w:r>
    </w:p>
    <w:p w:rsidR="001C2189" w:rsidRDefault="00FD238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Pr>
          <w:rFonts w:ascii="Courier New" w:eastAsia="Times New Roman" w:hAnsi="Courier New"/>
          <w:kern w:val="0"/>
          <w:sz w:val="16"/>
          <w:szCs w:val="20"/>
          <w:lang w:val="en-GB" w:eastAsia="en-GB"/>
        </w:rPr>
        <w:lastRenderedPageBreak/>
        <w:t xml:space="preserve">    pci-List                            </w:t>
      </w:r>
      <w:r>
        <w:rPr>
          <w:rFonts w:ascii="Courier New" w:eastAsia="Times New Roman" w:hAnsi="Courier New"/>
          <w:color w:val="993366"/>
          <w:kern w:val="0"/>
          <w:sz w:val="16"/>
          <w:szCs w:val="20"/>
          <w:lang w:val="en-GB" w:eastAsia="en-GB"/>
        </w:rPr>
        <w:t>SEQUENCE</w:t>
      </w:r>
      <w:r>
        <w:rPr>
          <w:rFonts w:ascii="Courier New" w:eastAsia="Times New Roman" w:hAnsi="Courier New"/>
          <w:kern w:val="0"/>
          <w:sz w:val="16"/>
          <w:szCs w:val="20"/>
          <w:lang w:val="en-GB" w:eastAsia="en-GB"/>
        </w:rPr>
        <w:t xml:space="preserve"> (</w:t>
      </w:r>
      <w:r>
        <w:rPr>
          <w:rFonts w:ascii="Courier New" w:eastAsia="Times New Roman" w:hAnsi="Courier New"/>
          <w:color w:val="993366"/>
          <w:kern w:val="0"/>
          <w:sz w:val="16"/>
          <w:szCs w:val="20"/>
          <w:lang w:val="en-GB" w:eastAsia="en-GB"/>
        </w:rPr>
        <w:t>SIZE</w:t>
      </w:r>
      <w:r>
        <w:rPr>
          <w:rFonts w:ascii="Courier New" w:eastAsia="Times New Roman" w:hAnsi="Courier New"/>
          <w:kern w:val="0"/>
          <w:sz w:val="16"/>
          <w:szCs w:val="20"/>
          <w:lang w:val="en-GB" w:eastAsia="en-GB"/>
        </w:rPr>
        <w:t xml:space="preserve"> (1..maxNrofPCIsPerSMTC))</w:t>
      </w:r>
      <w:r>
        <w:rPr>
          <w:rFonts w:ascii="Courier New" w:eastAsia="Times New Roman" w:hAnsi="Courier New"/>
          <w:color w:val="993366"/>
          <w:kern w:val="0"/>
          <w:sz w:val="16"/>
          <w:szCs w:val="20"/>
          <w:lang w:val="en-GB" w:eastAsia="en-GB"/>
        </w:rPr>
        <w:t xml:space="preserve"> OF</w:t>
      </w:r>
      <w:r>
        <w:rPr>
          <w:rFonts w:ascii="Courier New" w:eastAsia="Times New Roman" w:hAnsi="Courier New"/>
          <w:kern w:val="0"/>
          <w:sz w:val="16"/>
          <w:szCs w:val="20"/>
          <w:lang w:val="en-GB" w:eastAsia="en-GB"/>
        </w:rPr>
        <w:t xml:space="preserve"> PhysCellId                   </w:t>
      </w:r>
      <w:r>
        <w:rPr>
          <w:rFonts w:ascii="Courier New" w:eastAsia="Times New Roman" w:hAnsi="Courier New"/>
          <w:color w:val="993366"/>
          <w:kern w:val="0"/>
          <w:sz w:val="16"/>
          <w:szCs w:val="20"/>
          <w:lang w:val="en-GB" w:eastAsia="en-GB"/>
        </w:rPr>
        <w:t>OPTIONAL</w:t>
      </w:r>
      <w:r>
        <w:rPr>
          <w:rFonts w:ascii="Courier New" w:eastAsia="Times New Roman" w:hAnsi="Courier New"/>
          <w:kern w:val="0"/>
          <w:sz w:val="16"/>
          <w:szCs w:val="20"/>
          <w:lang w:val="en-GB" w:eastAsia="en-GB"/>
        </w:rPr>
        <w:t xml:space="preserve">,   </w:t>
      </w:r>
      <w:r>
        <w:rPr>
          <w:rFonts w:ascii="Courier New" w:eastAsia="Times New Roman" w:hAnsi="Courier New"/>
          <w:color w:val="808080"/>
          <w:kern w:val="0"/>
          <w:sz w:val="16"/>
          <w:szCs w:val="20"/>
          <w:lang w:val="en-GB" w:eastAsia="en-GB"/>
        </w:rPr>
        <w:t>-- Need M</w:t>
      </w:r>
    </w:p>
    <w:p w:rsidR="001C2189" w:rsidRDefault="00FD238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periodicity                         </w:t>
      </w:r>
      <w:r>
        <w:rPr>
          <w:rFonts w:ascii="Courier New" w:eastAsia="Times New Roman" w:hAnsi="Courier New"/>
          <w:color w:val="993366"/>
          <w:kern w:val="0"/>
          <w:sz w:val="16"/>
          <w:szCs w:val="20"/>
          <w:lang w:val="en-GB" w:eastAsia="en-GB"/>
        </w:rPr>
        <w:t>ENUMERATED</w:t>
      </w:r>
      <w:r>
        <w:rPr>
          <w:rFonts w:ascii="Courier New" w:eastAsia="Times New Roman" w:hAnsi="Courier New"/>
          <w:kern w:val="0"/>
          <w:sz w:val="16"/>
          <w:szCs w:val="20"/>
          <w:lang w:val="en-GB" w:eastAsia="en-GB"/>
        </w:rPr>
        <w:t xml:space="preserve"> {sf5, sf10, sf20, sf40, sf80, spare3, spare2, spare1}</w:t>
      </w:r>
    </w:p>
    <w:p w:rsidR="001C2189" w:rsidRDefault="00FD238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w:t>
      </w:r>
    </w:p>
    <w:p w:rsidR="001C2189" w:rsidRDefault="00FD238F">
      <w:pPr>
        <w:spacing w:line="240" w:lineRule="auto"/>
        <w:rPr>
          <w:sz w:val="20"/>
          <w:szCs w:val="20"/>
        </w:rPr>
      </w:pPr>
      <w:r>
        <w:rPr>
          <w:rFonts w:hint="eastAsia"/>
          <w:sz w:val="20"/>
          <w:szCs w:val="20"/>
        </w:rPr>
        <w:t>One possible solution without changing the existing measurement gap and SMTC configuration is to rely on network implementation, for example, by limiting the configuration that only 5ms SSB period is supported in NTN. With the 5ms SSB period, the periodicity of SMTC can be configured as 5ms as well, while the measurement gap length can be configured as 6ms to ensure that UE will be able to receive SSB during the measurement gap. However, during the email discussion, most companies consider it to be too restrictive and would increase the system overhead dramatically.</w:t>
      </w:r>
    </w:p>
    <w:p w:rsidR="001C2189" w:rsidRDefault="00FD238F">
      <w:pPr>
        <w:spacing w:line="240" w:lineRule="auto"/>
        <w:rPr>
          <w:sz w:val="20"/>
          <w:szCs w:val="20"/>
        </w:rPr>
      </w:pPr>
      <w:r>
        <w:rPr>
          <w:rFonts w:hint="eastAsia"/>
          <w:sz w:val="20"/>
          <w:szCs w:val="20"/>
        </w:rPr>
        <w:t>Thus, some enhancements should be considered to address this issue and the following solutions have been proposed during email discussion:</w:t>
      </w:r>
    </w:p>
    <w:p w:rsidR="001C2189" w:rsidRDefault="00FD238F">
      <w:pPr>
        <w:numPr>
          <w:ilvl w:val="0"/>
          <w:numId w:val="8"/>
        </w:numPr>
        <w:spacing w:line="240" w:lineRule="auto"/>
        <w:rPr>
          <w:sz w:val="20"/>
          <w:szCs w:val="20"/>
        </w:rPr>
      </w:pPr>
      <w:r>
        <w:rPr>
          <w:rFonts w:hint="eastAsia"/>
          <w:sz w:val="20"/>
          <w:szCs w:val="20"/>
        </w:rPr>
        <w:t xml:space="preserve">Solution1: </w:t>
      </w:r>
      <w:r>
        <w:rPr>
          <w:sz w:val="20"/>
          <w:szCs w:val="20"/>
        </w:rPr>
        <w:t xml:space="preserve">Reuse </w:t>
      </w:r>
      <w:r>
        <w:rPr>
          <w:rFonts w:hint="eastAsia"/>
          <w:sz w:val="20"/>
          <w:szCs w:val="20"/>
        </w:rPr>
        <w:t xml:space="preserve">the current </w:t>
      </w:r>
      <w:r>
        <w:rPr>
          <w:sz w:val="20"/>
          <w:szCs w:val="20"/>
        </w:rPr>
        <w:t xml:space="preserve">signaling for SMTC </w:t>
      </w:r>
      <w:r>
        <w:rPr>
          <w:rFonts w:hint="eastAsia"/>
          <w:sz w:val="20"/>
          <w:szCs w:val="20"/>
        </w:rPr>
        <w:t>and measurement gap configuration</w:t>
      </w:r>
      <w:r>
        <w:rPr>
          <w:sz w:val="20"/>
          <w:szCs w:val="20"/>
        </w:rPr>
        <w:t xml:space="preserve">. The timing of configured SMTC </w:t>
      </w:r>
      <w:r>
        <w:rPr>
          <w:rFonts w:hint="eastAsia"/>
          <w:sz w:val="20"/>
          <w:szCs w:val="20"/>
        </w:rPr>
        <w:t xml:space="preserve">and gap </w:t>
      </w:r>
      <w:r>
        <w:rPr>
          <w:sz w:val="20"/>
          <w:szCs w:val="20"/>
        </w:rPr>
        <w:t xml:space="preserve">refer to the timing on satellites of PCell or on NTN GW of PCell (assuming that the SMTC is the same on satellite or on NTN GW for intra-frequency NTN cells), and it is up to UE to derive the real timing </w:t>
      </w:r>
      <w:r>
        <w:rPr>
          <w:rFonts w:hint="eastAsia"/>
          <w:sz w:val="20"/>
          <w:szCs w:val="20"/>
        </w:rPr>
        <w:t xml:space="preserve">of SMTC and measurement gap </w:t>
      </w:r>
      <w:r>
        <w:rPr>
          <w:sz w:val="20"/>
          <w:szCs w:val="20"/>
        </w:rPr>
        <w:t>on UE side (e.g. take the transmission delay into account)</w:t>
      </w:r>
      <w:r>
        <w:rPr>
          <w:rFonts w:hint="eastAsia"/>
          <w:sz w:val="20"/>
          <w:szCs w:val="20"/>
        </w:rPr>
        <w:t>.</w:t>
      </w:r>
    </w:p>
    <w:p w:rsidR="001C2189" w:rsidRDefault="00FD238F">
      <w:pPr>
        <w:spacing w:line="240" w:lineRule="auto"/>
        <w:jc w:val="center"/>
        <w:rPr>
          <w:sz w:val="20"/>
          <w:szCs w:val="20"/>
        </w:rPr>
      </w:pPr>
      <w:r>
        <w:rPr>
          <w:sz w:val="20"/>
          <w:szCs w:val="20"/>
        </w:rPr>
        <w:object w:dxaOrig="9345" w:dyaOrig="2955">
          <v:shape id="_x0000_i1031" type="#_x0000_t75" style="width:467.25pt;height:147.75pt" o:ole="">
            <v:imagedata r:id="rId21" o:title=""/>
            <o:lock v:ext="edit" aspectratio="f"/>
          </v:shape>
          <o:OLEObject Type="Embed" ProgID="Visio.Drawing.15" ShapeID="_x0000_i1031" DrawAspect="Content" ObjectID="_1664957720" r:id="rId22"/>
        </w:object>
      </w:r>
    </w:p>
    <w:p w:rsidR="001C2189" w:rsidRDefault="00FD238F">
      <w:pPr>
        <w:spacing w:line="240" w:lineRule="auto"/>
        <w:jc w:val="center"/>
        <w:rPr>
          <w:sz w:val="20"/>
          <w:szCs w:val="20"/>
        </w:rPr>
      </w:pPr>
      <w:r>
        <w:rPr>
          <w:rFonts w:hint="eastAsia"/>
          <w:sz w:val="20"/>
          <w:szCs w:val="20"/>
        </w:rPr>
        <w:t>Figure 7: Example of solution 1</w:t>
      </w:r>
    </w:p>
    <w:p w:rsidR="001C2189" w:rsidRDefault="00FD238F">
      <w:pPr>
        <w:spacing w:line="240" w:lineRule="auto"/>
        <w:jc w:val="left"/>
        <w:rPr>
          <w:sz w:val="20"/>
          <w:szCs w:val="20"/>
        </w:rPr>
      </w:pPr>
      <w:r>
        <w:rPr>
          <w:rFonts w:hint="eastAsia"/>
          <w:sz w:val="20"/>
          <w:szCs w:val="20"/>
        </w:rPr>
        <w:t>For solution 1, since the real timing of SMTC window on UE side for cells served by other satellites will change from time to time based on the movement of satellites, the NW also need to derive the real timing of measurement gap on UE side based on the location of UE and the ephemeris of neighboring satellites. The measurement gap and SMTC is maintained per satellite at both UE and network side.</w:t>
      </w:r>
    </w:p>
    <w:p w:rsidR="001C2189" w:rsidRDefault="00FD238F">
      <w:pPr>
        <w:numPr>
          <w:ilvl w:val="0"/>
          <w:numId w:val="8"/>
        </w:numPr>
        <w:spacing w:line="240" w:lineRule="auto"/>
        <w:rPr>
          <w:sz w:val="20"/>
          <w:szCs w:val="20"/>
        </w:rPr>
      </w:pPr>
      <w:r>
        <w:rPr>
          <w:rFonts w:hint="eastAsia"/>
          <w:sz w:val="20"/>
          <w:szCs w:val="20"/>
        </w:rPr>
        <w:t>Solution2: Reuse the current signaling for SMTC configuration and extend the length of measurement gap.</w:t>
      </w:r>
    </w:p>
    <w:p w:rsidR="001C2189" w:rsidRDefault="00FD238F">
      <w:pPr>
        <w:numPr>
          <w:ilvl w:val="1"/>
          <w:numId w:val="8"/>
        </w:numPr>
        <w:spacing w:line="240" w:lineRule="auto"/>
        <w:rPr>
          <w:sz w:val="20"/>
          <w:szCs w:val="20"/>
        </w:rPr>
      </w:pPr>
      <w:r>
        <w:rPr>
          <w:rFonts w:hint="eastAsia"/>
          <w:sz w:val="20"/>
          <w:szCs w:val="20"/>
        </w:rPr>
        <w:t>Solution 2.1: The measurement gap length can be extended</w:t>
      </w:r>
      <w:r>
        <w:rPr>
          <w:sz w:val="20"/>
          <w:szCs w:val="20"/>
        </w:rPr>
        <w:t xml:space="preserve"> to ensure that the length is larger than or equal to the SSB periodicity</w:t>
      </w:r>
      <w:r>
        <w:rPr>
          <w:rFonts w:hint="eastAsia"/>
          <w:sz w:val="20"/>
          <w:szCs w:val="20"/>
        </w:rPr>
        <w:t xml:space="preserve"> of the serving and neighbor cells. </w:t>
      </w:r>
    </w:p>
    <w:p w:rsidR="001C2189" w:rsidRDefault="00FD238F">
      <w:pPr>
        <w:numPr>
          <w:ilvl w:val="1"/>
          <w:numId w:val="8"/>
        </w:numPr>
        <w:spacing w:line="240" w:lineRule="auto"/>
        <w:rPr>
          <w:sz w:val="20"/>
          <w:szCs w:val="20"/>
        </w:rPr>
      </w:pPr>
      <w:r>
        <w:rPr>
          <w:rFonts w:hint="eastAsia"/>
          <w:sz w:val="20"/>
          <w:szCs w:val="20"/>
        </w:rPr>
        <w:t>Solution 2.2: The measurement gap length is extended based on the max propagation delay difference between the serving and the neighboring satellite so that UE will be able to detect SSB from serving and neighbouring satellites.</w:t>
      </w:r>
    </w:p>
    <w:p w:rsidR="001C2189" w:rsidRDefault="00FD238F">
      <w:pPr>
        <w:spacing w:line="240" w:lineRule="auto"/>
        <w:jc w:val="center"/>
        <w:rPr>
          <w:sz w:val="20"/>
          <w:szCs w:val="20"/>
        </w:rPr>
      </w:pPr>
      <w:r>
        <w:rPr>
          <w:sz w:val="20"/>
          <w:szCs w:val="20"/>
        </w:rPr>
        <w:object w:dxaOrig="9345" w:dyaOrig="2955">
          <v:shape id="_x0000_i1032" type="#_x0000_t75" style="width:467.25pt;height:147.75pt" o:ole="">
            <v:imagedata r:id="rId23" o:title=""/>
            <o:lock v:ext="edit" aspectratio="f"/>
          </v:shape>
          <o:OLEObject Type="Embed" ProgID="Visio.Drawing.15" ShapeID="_x0000_i1032" DrawAspect="Content" ObjectID="_1664957721" r:id="rId24"/>
        </w:object>
      </w:r>
    </w:p>
    <w:p w:rsidR="001C2189" w:rsidRDefault="00FD238F">
      <w:pPr>
        <w:spacing w:line="240" w:lineRule="auto"/>
        <w:jc w:val="center"/>
        <w:rPr>
          <w:sz w:val="20"/>
          <w:szCs w:val="20"/>
        </w:rPr>
      </w:pPr>
      <w:r>
        <w:rPr>
          <w:rFonts w:hint="eastAsia"/>
          <w:sz w:val="20"/>
          <w:szCs w:val="20"/>
        </w:rPr>
        <w:t>Figure 8: Example of solution 2.2</w:t>
      </w:r>
    </w:p>
    <w:p w:rsidR="001C2189" w:rsidRDefault="00FD238F">
      <w:pPr>
        <w:numPr>
          <w:ilvl w:val="0"/>
          <w:numId w:val="8"/>
        </w:numPr>
        <w:spacing w:line="240" w:lineRule="auto"/>
        <w:rPr>
          <w:sz w:val="20"/>
          <w:szCs w:val="20"/>
        </w:rPr>
      </w:pPr>
      <w:r>
        <w:rPr>
          <w:rFonts w:hint="eastAsia"/>
          <w:sz w:val="20"/>
          <w:szCs w:val="20"/>
        </w:rPr>
        <w:t>Solution</w:t>
      </w:r>
      <w:r>
        <w:rPr>
          <w:sz w:val="20"/>
          <w:szCs w:val="20"/>
        </w:rPr>
        <w:t xml:space="preserve">3: </w:t>
      </w:r>
      <w:r>
        <w:rPr>
          <w:rFonts w:hint="eastAsia"/>
          <w:sz w:val="20"/>
          <w:szCs w:val="20"/>
        </w:rPr>
        <w:t>Network provides SMTC configuration for each neighbor cell or neighbor satellites with different offset value, taking different transmission delay into account. The timing of SMTC refers to the timing of PCell at UE side.</w:t>
      </w:r>
    </w:p>
    <w:p w:rsidR="001C2189" w:rsidRDefault="00FD238F">
      <w:pPr>
        <w:spacing w:line="240" w:lineRule="auto"/>
        <w:jc w:val="center"/>
        <w:rPr>
          <w:sz w:val="20"/>
          <w:szCs w:val="20"/>
        </w:rPr>
      </w:pPr>
      <w:r>
        <w:rPr>
          <w:sz w:val="20"/>
          <w:szCs w:val="20"/>
        </w:rPr>
        <w:object w:dxaOrig="9345" w:dyaOrig="2955">
          <v:shape id="_x0000_i1033" type="#_x0000_t75" style="width:467.25pt;height:147.75pt" o:ole="">
            <v:imagedata r:id="rId25" o:title=""/>
            <o:lock v:ext="edit" aspectratio="f"/>
          </v:shape>
          <o:OLEObject Type="Embed" ProgID="Visio.Drawing.15" ShapeID="_x0000_i1033" DrawAspect="Content" ObjectID="_1664957722" r:id="rId26"/>
        </w:object>
      </w:r>
    </w:p>
    <w:p w:rsidR="001C2189" w:rsidRDefault="00FD238F">
      <w:pPr>
        <w:spacing w:line="240" w:lineRule="auto"/>
        <w:jc w:val="center"/>
        <w:rPr>
          <w:sz w:val="20"/>
          <w:szCs w:val="20"/>
        </w:rPr>
      </w:pPr>
      <w:r>
        <w:rPr>
          <w:rFonts w:hint="eastAsia"/>
          <w:sz w:val="20"/>
          <w:szCs w:val="20"/>
        </w:rPr>
        <w:t>Figure 9: Example of solution 3</w:t>
      </w:r>
    </w:p>
    <w:p w:rsidR="001C2189" w:rsidRDefault="00FD238F">
      <w:pPr>
        <w:spacing w:line="240" w:lineRule="auto"/>
        <w:rPr>
          <w:sz w:val="20"/>
          <w:szCs w:val="20"/>
        </w:rPr>
      </w:pPr>
      <w:r>
        <w:rPr>
          <w:rFonts w:hint="eastAsia"/>
          <w:sz w:val="20"/>
          <w:szCs w:val="20"/>
        </w:rPr>
        <w:t>As mentioned in 2.1, UE location is not always available at network side, thus a common solution for SMTC and measurement gap configuration is needed for the cases when UE location is available or unavailable at network side.</w:t>
      </w:r>
    </w:p>
    <w:p w:rsidR="001C2189" w:rsidRDefault="00FD238F">
      <w:pPr>
        <w:numPr>
          <w:ilvl w:val="255"/>
          <w:numId w:val="0"/>
        </w:numPr>
        <w:spacing w:line="240" w:lineRule="auto"/>
        <w:jc w:val="left"/>
        <w:rPr>
          <w:sz w:val="20"/>
          <w:szCs w:val="20"/>
        </w:rPr>
      </w:pPr>
      <w:r>
        <w:rPr>
          <w:rFonts w:hint="eastAsia"/>
          <w:b/>
          <w:bCs/>
          <w:sz w:val="20"/>
          <w:szCs w:val="20"/>
        </w:rPr>
        <w:t>Observation 3: A common solution applicable to the cases when UE location is available or unavailable at network side should be considered in SMTC and measurement gap configuration in NTN.</w:t>
      </w:r>
    </w:p>
    <w:p w:rsidR="001C2189" w:rsidRDefault="00FD238F">
      <w:pPr>
        <w:spacing w:line="240" w:lineRule="auto"/>
        <w:rPr>
          <w:sz w:val="20"/>
          <w:szCs w:val="20"/>
        </w:rPr>
      </w:pPr>
      <w:r>
        <w:rPr>
          <w:rFonts w:hint="eastAsia"/>
          <w:sz w:val="20"/>
          <w:szCs w:val="20"/>
        </w:rPr>
        <w:t xml:space="preserve">In our understanding, solution 1 and 3 can only work for the case when UE location is available at network side as network has to evaluate the SMTC or </w:t>
      </w:r>
      <w:r>
        <w:rPr>
          <w:sz w:val="20"/>
          <w:szCs w:val="20"/>
        </w:rPr>
        <w:t xml:space="preserve">measurement </w:t>
      </w:r>
      <w:r>
        <w:rPr>
          <w:rFonts w:hint="eastAsia"/>
          <w:sz w:val="20"/>
          <w:szCs w:val="20"/>
        </w:rPr>
        <w:t xml:space="preserve">gap at UE side based on the RTD delay between UE and the serving or neighboring satellites while solution 2: Reuse the current signaling for SMTC configuration and extend the length of measurement gap could be a common solution applicable in the cases when UE location is available or unavailable at network side. </w:t>
      </w:r>
    </w:p>
    <w:p w:rsidR="001C2189" w:rsidRDefault="00FD238F">
      <w:pPr>
        <w:spacing w:line="240" w:lineRule="auto"/>
        <w:rPr>
          <w:sz w:val="20"/>
          <w:szCs w:val="20"/>
        </w:rPr>
      </w:pPr>
      <w:r>
        <w:rPr>
          <w:rFonts w:hint="eastAsia"/>
          <w:sz w:val="20"/>
          <w:szCs w:val="20"/>
        </w:rPr>
        <w:t>Considering that the delay difference between the serving and neighboring satellite would be limited, there seems to be no need to extend the measurement gap to be comparable to SSB periodicity thus solution 2.2 is preferred.</w:t>
      </w:r>
    </w:p>
    <w:p w:rsidR="001C2189" w:rsidRDefault="00FD238F">
      <w:pPr>
        <w:spacing w:line="240" w:lineRule="auto"/>
        <w:jc w:val="left"/>
        <w:rPr>
          <w:rStyle w:val="CommentReference"/>
        </w:rPr>
      </w:pPr>
      <w:r>
        <w:rPr>
          <w:rFonts w:hint="eastAsia"/>
          <w:b/>
          <w:bCs/>
          <w:sz w:val="20"/>
          <w:szCs w:val="20"/>
        </w:rPr>
        <w:t>Proposal 2: The current signaling for SMTC configuration is reused while the measurement gap length is extended based on the max propagation delay difference between the serving and the neighboring satellite so that UE will be able to detect SSB from serving and neighboring satellites.</w:t>
      </w:r>
    </w:p>
    <w:p w:rsidR="001C2189" w:rsidRDefault="00FD238F">
      <w:pPr>
        <w:spacing w:line="240" w:lineRule="auto"/>
        <w:jc w:val="left"/>
        <w:rPr>
          <w:rStyle w:val="CommentReference"/>
        </w:rPr>
      </w:pPr>
      <w:r>
        <w:rPr>
          <w:rFonts w:hint="eastAsia"/>
          <w:b/>
          <w:bCs/>
          <w:sz w:val="20"/>
          <w:szCs w:val="20"/>
        </w:rPr>
        <w:t>Proposal 3: An LS should be sent to RAN4 to check the feasibility of the above solution.</w:t>
      </w:r>
    </w:p>
    <w:bookmarkEnd w:id="2"/>
    <w:p w:rsidR="001C2189" w:rsidRDefault="00FD238F">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1C2189" w:rsidRDefault="00FD238F">
      <w:pPr>
        <w:rPr>
          <w:sz w:val="20"/>
          <w:szCs w:val="20"/>
        </w:rPr>
      </w:pPr>
      <w:r>
        <w:rPr>
          <w:rFonts w:hint="eastAsia"/>
          <w:sz w:val="20"/>
          <w:szCs w:val="20"/>
        </w:rPr>
        <w:t>With the above analysis, we have the following conclusions and proposals:</w:t>
      </w:r>
    </w:p>
    <w:p w:rsidR="001C2189" w:rsidRDefault="00FD238F">
      <w:pPr>
        <w:spacing w:line="240" w:lineRule="auto"/>
        <w:jc w:val="left"/>
        <w:rPr>
          <w:b/>
          <w:bCs/>
          <w:sz w:val="20"/>
          <w:szCs w:val="20"/>
        </w:rPr>
      </w:pPr>
      <w:r>
        <w:rPr>
          <w:rFonts w:hint="eastAsia"/>
          <w:b/>
          <w:bCs/>
          <w:sz w:val="20"/>
          <w:szCs w:val="20"/>
        </w:rPr>
        <w:t>Observation 1: Not all the NTN UE would allow network to collect its locat</w:t>
      </w:r>
      <w:r w:rsidR="00611110">
        <w:rPr>
          <w:rFonts w:hint="eastAsia"/>
          <w:b/>
          <w:bCs/>
          <w:sz w:val="20"/>
          <w:szCs w:val="20"/>
        </w:rPr>
        <w:t>ion information and thus it can</w:t>
      </w:r>
      <w:r>
        <w:rPr>
          <w:rFonts w:hint="eastAsia"/>
          <w:b/>
          <w:bCs/>
          <w:sz w:val="20"/>
          <w:szCs w:val="20"/>
        </w:rPr>
        <w:t>not be assumed that UE location is always available at network side.</w:t>
      </w:r>
    </w:p>
    <w:p w:rsidR="001C2189" w:rsidRDefault="00FD238F">
      <w:pPr>
        <w:spacing w:line="240" w:lineRule="auto"/>
        <w:jc w:val="left"/>
        <w:rPr>
          <w:b/>
          <w:bCs/>
          <w:sz w:val="20"/>
          <w:szCs w:val="20"/>
        </w:rPr>
      </w:pPr>
      <w:r>
        <w:rPr>
          <w:rFonts w:hint="eastAsia"/>
          <w:b/>
          <w:bCs/>
          <w:sz w:val="20"/>
          <w:szCs w:val="20"/>
        </w:rPr>
        <w:t>Observation 2: A common solution applicable to the cases when UE location is available or unavailable at network side should be considered to help NTN cell identify the country UE is in and enforce country-specific policies accordingly.</w:t>
      </w:r>
    </w:p>
    <w:p w:rsidR="001C2189" w:rsidRDefault="00FD238F">
      <w:pPr>
        <w:spacing w:line="240" w:lineRule="auto"/>
        <w:jc w:val="left"/>
        <w:rPr>
          <w:b/>
          <w:bCs/>
          <w:sz w:val="20"/>
          <w:szCs w:val="20"/>
        </w:rPr>
      </w:pPr>
      <w:r>
        <w:rPr>
          <w:rFonts w:hint="eastAsia"/>
          <w:b/>
          <w:bCs/>
          <w:sz w:val="20"/>
          <w:szCs w:val="20"/>
        </w:rPr>
        <w:t>Proposal 1: The following approaches should be considered to help network identify the country UE is in and enforce country-specific policies:</w:t>
      </w:r>
    </w:p>
    <w:p w:rsidR="001C2189" w:rsidRDefault="00FD238F">
      <w:pPr>
        <w:numPr>
          <w:ilvl w:val="0"/>
          <w:numId w:val="7"/>
        </w:numPr>
        <w:spacing w:line="240" w:lineRule="auto"/>
        <w:jc w:val="left"/>
        <w:rPr>
          <w:b/>
          <w:bCs/>
          <w:sz w:val="20"/>
          <w:szCs w:val="20"/>
        </w:rPr>
      </w:pPr>
      <w:r>
        <w:rPr>
          <w:rFonts w:hint="eastAsia"/>
          <w:b/>
          <w:bCs/>
          <w:sz w:val="20"/>
          <w:szCs w:val="20"/>
        </w:rPr>
        <w:t xml:space="preserve">Approach 1: UE acquires the system information from TN cells and report TN cell information (e.g. PLMN identity </w:t>
      </w:r>
      <w:r w:rsidR="00611110">
        <w:rPr>
          <w:rFonts w:hint="eastAsia"/>
          <w:b/>
          <w:bCs/>
          <w:sz w:val="20"/>
          <w:szCs w:val="20"/>
        </w:rPr>
        <w:t>or MCC) to the serving NTN cell</w:t>
      </w:r>
      <w:r>
        <w:rPr>
          <w:rFonts w:hint="eastAsia"/>
          <w:b/>
          <w:bCs/>
          <w:sz w:val="20"/>
          <w:szCs w:val="20"/>
        </w:rPr>
        <w:t>.</w:t>
      </w:r>
    </w:p>
    <w:p w:rsidR="001C2189" w:rsidRDefault="00FD238F">
      <w:pPr>
        <w:numPr>
          <w:ilvl w:val="0"/>
          <w:numId w:val="7"/>
        </w:numPr>
        <w:spacing w:line="240" w:lineRule="auto"/>
        <w:jc w:val="left"/>
        <w:rPr>
          <w:b/>
          <w:bCs/>
          <w:sz w:val="20"/>
          <w:szCs w:val="20"/>
        </w:rPr>
      </w:pPr>
      <w:r>
        <w:rPr>
          <w:rFonts w:hint="eastAsia"/>
          <w:b/>
          <w:bCs/>
          <w:sz w:val="20"/>
          <w:szCs w:val="20"/>
        </w:rPr>
        <w:t>Approach 2: Network configures location based measurement event and identifies the country UE is in based on the received measurement.</w:t>
      </w:r>
    </w:p>
    <w:p w:rsidR="001C2189" w:rsidRDefault="00FD238F">
      <w:pPr>
        <w:numPr>
          <w:ilvl w:val="255"/>
          <w:numId w:val="0"/>
        </w:numPr>
        <w:spacing w:line="240" w:lineRule="auto"/>
        <w:jc w:val="left"/>
        <w:rPr>
          <w:sz w:val="20"/>
          <w:szCs w:val="20"/>
        </w:rPr>
      </w:pPr>
      <w:r>
        <w:rPr>
          <w:rFonts w:hint="eastAsia"/>
          <w:b/>
          <w:bCs/>
          <w:sz w:val="20"/>
          <w:szCs w:val="20"/>
        </w:rPr>
        <w:t>Observation 3: A common solution applicable to the cases when UE location is available or unavailable at network side should be considered in SMTC and measurement gap configuration in NTN.</w:t>
      </w:r>
    </w:p>
    <w:p w:rsidR="001C2189" w:rsidRDefault="00FD238F">
      <w:pPr>
        <w:spacing w:line="240" w:lineRule="auto"/>
        <w:jc w:val="left"/>
        <w:rPr>
          <w:b/>
          <w:bCs/>
          <w:sz w:val="20"/>
          <w:szCs w:val="20"/>
        </w:rPr>
      </w:pPr>
      <w:r>
        <w:rPr>
          <w:rFonts w:hint="eastAsia"/>
          <w:b/>
          <w:bCs/>
          <w:sz w:val="20"/>
          <w:szCs w:val="20"/>
        </w:rPr>
        <w:t>Proposal 2: The current signaling for SMTC configuration is reused while the measurement gap length is extended based on the max propagation delay difference between the serving and the neighboring satellite so that UE will be able to detect SSB from serving and neighboring satellites.</w:t>
      </w:r>
    </w:p>
    <w:p w:rsidR="001C2189" w:rsidRDefault="00FD238F">
      <w:pPr>
        <w:spacing w:line="240" w:lineRule="auto"/>
        <w:jc w:val="left"/>
        <w:rPr>
          <w:b/>
          <w:bCs/>
          <w:sz w:val="20"/>
          <w:szCs w:val="20"/>
        </w:rPr>
      </w:pPr>
      <w:r>
        <w:rPr>
          <w:rFonts w:hint="eastAsia"/>
          <w:b/>
          <w:bCs/>
          <w:sz w:val="20"/>
          <w:szCs w:val="20"/>
        </w:rPr>
        <w:t>Proposal 3: An LS should be sent to RAN4 to check the feasibility of the above solution.</w:t>
      </w:r>
    </w:p>
    <w:p w:rsidR="001C2189" w:rsidRDefault="00FD238F">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BB27C1" w:rsidRDefault="00BB27C1" w:rsidP="00BB27C1">
      <w:pPr>
        <w:pStyle w:val="ListParagraph"/>
        <w:numPr>
          <w:ilvl w:val="0"/>
          <w:numId w:val="9"/>
        </w:numPr>
        <w:spacing w:line="260" w:lineRule="auto"/>
        <w:ind w:firstLineChars="0"/>
        <w:jc w:val="left"/>
        <w:rPr>
          <w:sz w:val="20"/>
          <w:szCs w:val="20"/>
        </w:rPr>
      </w:pPr>
      <w:r w:rsidRPr="00BB27C1">
        <w:rPr>
          <w:sz w:val="20"/>
          <w:szCs w:val="20"/>
        </w:rPr>
        <w:t>R2-2009803_Report of [Post111-e] [911] [NTN] Connected mode aspects (ZTE)</w:t>
      </w:r>
    </w:p>
    <w:p w:rsidR="001C2189" w:rsidRDefault="00FD238F">
      <w:pPr>
        <w:pStyle w:val="ListParagraph"/>
        <w:numPr>
          <w:ilvl w:val="0"/>
          <w:numId w:val="9"/>
        </w:numPr>
        <w:spacing w:line="260" w:lineRule="auto"/>
        <w:ind w:firstLineChars="0"/>
        <w:jc w:val="left"/>
        <w:rPr>
          <w:sz w:val="20"/>
          <w:szCs w:val="20"/>
        </w:rPr>
      </w:pPr>
      <w:r>
        <w:rPr>
          <w:rFonts w:hint="eastAsia"/>
          <w:sz w:val="20"/>
          <w:szCs w:val="20"/>
        </w:rPr>
        <w:t>RP-201256 WID: Solutions for NR to support non-terrestrial networks (NTN)</w:t>
      </w:r>
    </w:p>
    <w:p w:rsidR="001C2189" w:rsidRDefault="00FD238F">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3" w:name="_GoBack"/>
      <w:bookmarkEnd w:id="3"/>
      <w:r>
        <w:rPr>
          <w:rFonts w:ascii="Arial" w:hAnsi="Arial" w:cs="Arial" w:hint="eastAsia"/>
          <w:b w:val="0"/>
          <w:bCs w:val="0"/>
          <w:kern w:val="0"/>
          <w:sz w:val="32"/>
          <w:szCs w:val="36"/>
        </w:rPr>
        <w:t>Annex - draft LS to RAN4 on SMTC and measurement gap configuration in NTN</w:t>
      </w:r>
    </w:p>
    <w:p w:rsidR="001C2189" w:rsidRDefault="00FD238F">
      <w:pPr>
        <w:widowControl/>
        <w:spacing w:after="60" w:line="240" w:lineRule="auto"/>
        <w:ind w:left="1985" w:hanging="1985"/>
        <w:jc w:val="left"/>
        <w:rPr>
          <w:rFonts w:ascii="Arial" w:eastAsia="等线" w:hAnsi="Arial" w:cs="Arial"/>
          <w:b/>
          <w:kern w:val="0"/>
          <w:sz w:val="20"/>
          <w:szCs w:val="20"/>
        </w:rPr>
      </w:pPr>
      <w:r>
        <w:rPr>
          <w:rFonts w:ascii="Arial" w:eastAsia="等线" w:hAnsi="Arial" w:cs="Arial"/>
          <w:b/>
          <w:kern w:val="0"/>
          <w:sz w:val="20"/>
          <w:szCs w:val="20"/>
          <w:lang w:val="en-GB" w:eastAsia="en-US"/>
        </w:rPr>
        <w:t>Title:</w:t>
      </w:r>
      <w:r>
        <w:rPr>
          <w:rFonts w:ascii="Arial" w:eastAsia="等线" w:hAnsi="Arial" w:cs="Arial"/>
          <w:b/>
          <w:kern w:val="0"/>
          <w:sz w:val="20"/>
          <w:szCs w:val="20"/>
          <w:lang w:val="en-GB" w:eastAsia="en-US"/>
        </w:rPr>
        <w:tab/>
      </w:r>
      <w:r>
        <w:rPr>
          <w:rFonts w:ascii="Arial" w:eastAsia="等线" w:hAnsi="Arial" w:cs="Arial"/>
          <w:b/>
          <w:kern w:val="0"/>
          <w:sz w:val="20"/>
          <w:szCs w:val="20"/>
          <w:highlight w:val="yellow"/>
          <w:lang w:val="en-GB" w:eastAsia="en-US"/>
        </w:rPr>
        <w:t>[Draft]</w:t>
      </w:r>
      <w:r>
        <w:rPr>
          <w:rFonts w:ascii="Arial" w:eastAsia="等线" w:hAnsi="Arial" w:cs="Arial"/>
          <w:b/>
          <w:kern w:val="0"/>
          <w:sz w:val="20"/>
          <w:szCs w:val="20"/>
          <w:lang w:val="en-GB" w:eastAsia="en-US"/>
        </w:rPr>
        <w:t xml:space="preserve"> LS </w:t>
      </w:r>
      <w:r>
        <w:rPr>
          <w:rFonts w:ascii="Arial" w:eastAsia="等线" w:hAnsi="Arial" w:cs="Arial" w:hint="eastAsia"/>
          <w:b/>
          <w:kern w:val="0"/>
          <w:sz w:val="20"/>
          <w:szCs w:val="20"/>
          <w:lang w:val="en-GB" w:eastAsia="en-US"/>
        </w:rPr>
        <w:t>on SMTC and measurement gap configuration in NTN</w:t>
      </w:r>
    </w:p>
    <w:p w:rsidR="001C2189" w:rsidRDefault="00FD238F">
      <w:pPr>
        <w:widowControl/>
        <w:spacing w:after="60" w:line="240" w:lineRule="auto"/>
        <w:ind w:left="1985" w:hanging="1985"/>
        <w:jc w:val="left"/>
        <w:rPr>
          <w:rFonts w:ascii="Arial" w:eastAsia="等线" w:hAnsi="Arial" w:cs="Arial"/>
          <w:bCs/>
          <w:kern w:val="0"/>
          <w:sz w:val="20"/>
          <w:szCs w:val="20"/>
          <w:lang w:eastAsia="en-US"/>
        </w:rPr>
      </w:pPr>
      <w:r>
        <w:rPr>
          <w:rFonts w:ascii="Arial" w:eastAsia="等线" w:hAnsi="Arial" w:cs="Arial"/>
          <w:b/>
          <w:kern w:val="0"/>
          <w:sz w:val="20"/>
          <w:szCs w:val="20"/>
          <w:lang w:val="en-GB" w:eastAsia="en-US"/>
        </w:rPr>
        <w:t>Release:</w:t>
      </w:r>
      <w:r>
        <w:rPr>
          <w:rFonts w:ascii="Arial" w:eastAsia="等线" w:hAnsi="Arial" w:cs="Arial"/>
          <w:bCs/>
          <w:kern w:val="0"/>
          <w:sz w:val="20"/>
          <w:szCs w:val="20"/>
          <w:lang w:val="en-GB" w:eastAsia="en-US"/>
        </w:rPr>
        <w:tab/>
      </w:r>
      <w:r>
        <w:rPr>
          <w:rFonts w:ascii="Arial" w:eastAsia="等线" w:hAnsi="Arial" w:cs="Arial"/>
          <w:b/>
          <w:bCs/>
          <w:kern w:val="0"/>
          <w:sz w:val="20"/>
          <w:szCs w:val="20"/>
          <w:lang w:eastAsia="en-US"/>
        </w:rPr>
        <w:t>Rel-17</w:t>
      </w:r>
    </w:p>
    <w:p w:rsidR="001C2189" w:rsidRDefault="00FD238F">
      <w:pPr>
        <w:widowControl/>
        <w:spacing w:after="60" w:line="240" w:lineRule="auto"/>
        <w:ind w:left="1985" w:hanging="1985"/>
        <w:jc w:val="left"/>
        <w:rPr>
          <w:rFonts w:ascii="Arial" w:eastAsia="等线" w:hAnsi="Arial" w:cs="Arial"/>
          <w:b/>
          <w:kern w:val="0"/>
          <w:sz w:val="20"/>
          <w:szCs w:val="20"/>
          <w:lang w:val="en-GB" w:eastAsia="en-US"/>
        </w:rPr>
      </w:pPr>
      <w:r>
        <w:rPr>
          <w:rFonts w:ascii="Arial" w:eastAsia="等线" w:hAnsi="Arial" w:cs="Arial"/>
          <w:b/>
          <w:kern w:val="0"/>
          <w:sz w:val="20"/>
          <w:szCs w:val="20"/>
          <w:lang w:val="en-GB" w:eastAsia="en-US"/>
        </w:rPr>
        <w:t>Work Item:</w:t>
      </w:r>
      <w:r>
        <w:rPr>
          <w:rFonts w:ascii="Arial" w:eastAsia="等线" w:hAnsi="Arial" w:cs="Arial"/>
          <w:b/>
          <w:kern w:val="0"/>
          <w:sz w:val="20"/>
          <w:szCs w:val="20"/>
          <w:lang w:val="en-GB" w:eastAsia="en-US"/>
        </w:rPr>
        <w:tab/>
      </w:r>
      <w:r>
        <w:rPr>
          <w:rFonts w:ascii="Arial" w:eastAsia="等线" w:hAnsi="Arial" w:cs="Arial" w:hint="eastAsia"/>
          <w:b/>
          <w:kern w:val="0"/>
          <w:sz w:val="20"/>
          <w:szCs w:val="20"/>
          <w:lang w:val="en-GB" w:eastAsia="en-US"/>
        </w:rPr>
        <w:t>NR_NTN_solutions-Core</w:t>
      </w:r>
    </w:p>
    <w:p w:rsidR="001C2189" w:rsidRDefault="001C2189">
      <w:pPr>
        <w:widowControl/>
        <w:spacing w:after="60" w:line="240" w:lineRule="auto"/>
        <w:jc w:val="left"/>
        <w:rPr>
          <w:rFonts w:ascii="Arial" w:eastAsia="等线" w:hAnsi="Arial" w:cs="Arial"/>
          <w:b/>
          <w:kern w:val="0"/>
          <w:sz w:val="20"/>
          <w:szCs w:val="20"/>
          <w:lang w:val="fi-FI" w:eastAsia="en-US"/>
        </w:rPr>
      </w:pPr>
    </w:p>
    <w:p w:rsidR="001C2189" w:rsidRDefault="00FD238F">
      <w:pPr>
        <w:widowControl/>
        <w:spacing w:after="60" w:line="240" w:lineRule="auto"/>
        <w:ind w:left="1985" w:hanging="1985"/>
        <w:jc w:val="left"/>
        <w:rPr>
          <w:rFonts w:ascii="Arial" w:eastAsia="等线" w:hAnsi="Arial" w:cs="Arial"/>
          <w:bCs/>
          <w:kern w:val="0"/>
          <w:sz w:val="20"/>
          <w:szCs w:val="20"/>
          <w:lang w:eastAsia="en-US"/>
        </w:rPr>
      </w:pPr>
      <w:r>
        <w:rPr>
          <w:rFonts w:ascii="Arial" w:eastAsia="等线" w:hAnsi="Arial" w:cs="Arial"/>
          <w:b/>
          <w:kern w:val="0"/>
          <w:sz w:val="20"/>
          <w:szCs w:val="20"/>
          <w:lang w:val="en-GB" w:eastAsia="en-US"/>
        </w:rPr>
        <w:t>Source:</w:t>
      </w:r>
      <w:r>
        <w:rPr>
          <w:rFonts w:ascii="Arial" w:eastAsia="等线" w:hAnsi="Arial" w:cs="Arial"/>
          <w:bCs/>
          <w:color w:val="FF0000"/>
          <w:kern w:val="0"/>
          <w:sz w:val="20"/>
          <w:szCs w:val="20"/>
          <w:lang w:val="en-GB" w:eastAsia="en-US"/>
        </w:rPr>
        <w:tab/>
      </w:r>
      <w:r>
        <w:rPr>
          <w:rFonts w:ascii="Arial" w:eastAsia="等线" w:hAnsi="Arial" w:cs="Arial"/>
          <w:bCs/>
          <w:color w:val="000000"/>
          <w:kern w:val="0"/>
          <w:sz w:val="20"/>
          <w:szCs w:val="20"/>
          <w:lang w:val="en-GB"/>
        </w:rPr>
        <w:t>ZTE</w:t>
      </w:r>
      <w:r>
        <w:rPr>
          <w:rFonts w:ascii="Arial" w:eastAsia="等线" w:hAnsi="Arial" w:cs="Arial"/>
          <w:bCs/>
          <w:color w:val="FF0000"/>
          <w:kern w:val="0"/>
          <w:sz w:val="20"/>
          <w:szCs w:val="20"/>
          <w:lang w:val="en-GB" w:eastAsia="en-US"/>
        </w:rPr>
        <w:t xml:space="preserve"> </w:t>
      </w:r>
      <w:r>
        <w:rPr>
          <w:rFonts w:ascii="Arial" w:eastAsia="等线" w:hAnsi="Arial" w:cs="Arial" w:hint="eastAsia"/>
          <w:bCs/>
          <w:color w:val="000000"/>
          <w:kern w:val="0"/>
          <w:sz w:val="20"/>
          <w:szCs w:val="20"/>
          <w:highlight w:val="yellow"/>
          <w:lang w:val="en-GB"/>
        </w:rPr>
        <w:t xml:space="preserve">[to be </w:t>
      </w:r>
      <w:r>
        <w:rPr>
          <w:rFonts w:ascii="Arial" w:eastAsia="等线" w:hAnsi="Arial" w:cs="Arial"/>
          <w:bCs/>
          <w:color w:val="000000"/>
          <w:kern w:val="0"/>
          <w:sz w:val="20"/>
          <w:szCs w:val="20"/>
          <w:highlight w:val="yellow"/>
          <w:lang w:val="en-GB"/>
        </w:rPr>
        <w:t>RAN2</w:t>
      </w:r>
      <w:r>
        <w:rPr>
          <w:rFonts w:ascii="Arial" w:eastAsia="等线" w:hAnsi="Arial" w:cs="Arial" w:hint="eastAsia"/>
          <w:bCs/>
          <w:color w:val="000000"/>
          <w:kern w:val="0"/>
          <w:sz w:val="20"/>
          <w:szCs w:val="20"/>
          <w:highlight w:val="yellow"/>
          <w:lang w:val="en-GB"/>
        </w:rPr>
        <w:t>]</w:t>
      </w:r>
    </w:p>
    <w:p w:rsidR="001C2189" w:rsidRDefault="00FD238F">
      <w:pPr>
        <w:widowControl/>
        <w:spacing w:after="60" w:line="240" w:lineRule="auto"/>
        <w:ind w:left="1985" w:hanging="1985"/>
        <w:jc w:val="left"/>
        <w:rPr>
          <w:rFonts w:ascii="Arial" w:eastAsia="等线" w:hAnsi="Arial" w:cs="Arial"/>
          <w:bCs/>
          <w:kern w:val="0"/>
          <w:sz w:val="20"/>
          <w:szCs w:val="20"/>
        </w:rPr>
      </w:pPr>
      <w:r>
        <w:rPr>
          <w:rFonts w:ascii="Arial" w:eastAsia="等线" w:hAnsi="Arial" w:cs="Arial"/>
          <w:b/>
          <w:kern w:val="0"/>
          <w:sz w:val="20"/>
          <w:szCs w:val="20"/>
          <w:lang w:val="en-GB" w:eastAsia="en-US"/>
        </w:rPr>
        <w:t>To:</w:t>
      </w:r>
      <w:r>
        <w:rPr>
          <w:rFonts w:ascii="Arial" w:eastAsia="等线" w:hAnsi="Arial" w:cs="Arial"/>
          <w:bCs/>
          <w:kern w:val="0"/>
          <w:sz w:val="20"/>
          <w:szCs w:val="20"/>
          <w:lang w:val="en-GB" w:eastAsia="en-US"/>
        </w:rPr>
        <w:tab/>
      </w:r>
      <w:r>
        <w:rPr>
          <w:rFonts w:ascii="Arial" w:eastAsia="等线" w:hAnsi="Arial" w:cs="Arial"/>
          <w:bCs/>
          <w:kern w:val="0"/>
          <w:sz w:val="20"/>
          <w:szCs w:val="20"/>
          <w:lang w:eastAsia="en-US"/>
        </w:rPr>
        <w:t>RAN4</w:t>
      </w:r>
    </w:p>
    <w:p w:rsidR="001C2189" w:rsidRDefault="00FD238F">
      <w:pPr>
        <w:widowControl/>
        <w:tabs>
          <w:tab w:val="left" w:pos="2268"/>
        </w:tabs>
        <w:spacing w:after="0" w:line="240" w:lineRule="auto"/>
        <w:jc w:val="left"/>
        <w:rPr>
          <w:rFonts w:ascii="Arial" w:eastAsia="等线" w:hAnsi="Arial" w:cs="Arial"/>
          <w:bCs/>
          <w:kern w:val="0"/>
          <w:sz w:val="20"/>
          <w:szCs w:val="20"/>
          <w:lang w:val="en-GB" w:eastAsia="en-US"/>
        </w:rPr>
      </w:pPr>
      <w:r>
        <w:rPr>
          <w:rFonts w:ascii="Arial" w:eastAsia="等线" w:hAnsi="Arial" w:cs="Arial"/>
          <w:b/>
          <w:kern w:val="0"/>
          <w:sz w:val="20"/>
          <w:szCs w:val="20"/>
          <w:lang w:val="en-GB" w:eastAsia="en-US"/>
        </w:rPr>
        <w:lastRenderedPageBreak/>
        <w:t>Contact Person:</w:t>
      </w:r>
    </w:p>
    <w:p w:rsidR="001C2189" w:rsidRDefault="00FD238F">
      <w:pPr>
        <w:ind w:leftChars="100" w:left="210"/>
        <w:rPr>
          <w:rFonts w:ascii="Arial" w:eastAsia="等线" w:hAnsi="Arial" w:cs="Arial"/>
          <w:bCs/>
          <w:sz w:val="20"/>
          <w:szCs w:val="20"/>
          <w:lang w:val="en-GB" w:eastAsia="en-US"/>
        </w:rPr>
      </w:pPr>
      <w:r>
        <w:rPr>
          <w:rFonts w:ascii="Arial" w:eastAsia="等线" w:hAnsi="Arial" w:cs="Arial"/>
          <w:b/>
          <w:sz w:val="20"/>
          <w:szCs w:val="20"/>
          <w:lang w:val="en-GB" w:eastAsia="en-US"/>
        </w:rPr>
        <w:t>Name:</w:t>
      </w:r>
      <w:r>
        <w:rPr>
          <w:rFonts w:ascii="Arial" w:eastAsia="等线" w:hAnsi="Arial" w:cs="Arial"/>
          <w:bCs/>
          <w:sz w:val="20"/>
          <w:szCs w:val="20"/>
          <w:lang w:val="en-GB" w:eastAsia="en-US"/>
        </w:rPr>
        <w:tab/>
      </w:r>
      <w:r>
        <w:rPr>
          <w:rFonts w:ascii="Arial" w:eastAsia="等线" w:hAnsi="Arial" w:cs="Arial"/>
          <w:bCs/>
          <w:sz w:val="20"/>
          <w:szCs w:val="20"/>
          <w:lang w:val="en-GB" w:eastAsia="en-US"/>
        </w:rPr>
        <w:tab/>
      </w:r>
      <w:r>
        <w:rPr>
          <w:rFonts w:ascii="Arial" w:eastAsia="等线" w:hAnsi="Arial" w:cs="Arial"/>
          <w:bCs/>
          <w:sz w:val="20"/>
          <w:szCs w:val="20"/>
          <w:lang w:val="en-GB" w:eastAsia="en-US"/>
        </w:rPr>
        <w:tab/>
      </w:r>
      <w:r>
        <w:rPr>
          <w:rFonts w:ascii="Arial" w:eastAsia="等线" w:hAnsi="Arial" w:cs="Arial" w:hint="eastAsia"/>
          <w:bCs/>
          <w:sz w:val="20"/>
          <w:szCs w:val="20"/>
        </w:rPr>
        <w:tab/>
      </w:r>
      <w:r>
        <w:rPr>
          <w:rFonts w:ascii="Arial" w:eastAsia="等线" w:hAnsi="Arial" w:cs="Arial"/>
          <w:bCs/>
          <w:sz w:val="20"/>
          <w:szCs w:val="20"/>
          <w:lang w:val="en-GB" w:eastAsia="en-US"/>
        </w:rPr>
        <w:t>Yuan Gao</w:t>
      </w:r>
    </w:p>
    <w:p w:rsidR="001C2189" w:rsidRDefault="00FD238F">
      <w:pPr>
        <w:ind w:leftChars="100" w:left="210"/>
        <w:rPr>
          <w:rFonts w:ascii="Arial" w:eastAsia="等线" w:hAnsi="Arial" w:cs="Arial"/>
          <w:color w:val="0000FF"/>
          <w:sz w:val="20"/>
          <w:szCs w:val="20"/>
          <w:lang w:val="en-GB" w:eastAsia="en-US"/>
        </w:rPr>
      </w:pPr>
      <w:r>
        <w:rPr>
          <w:rFonts w:ascii="Calibri" w:eastAsia="等线" w:hAnsi="Calibri" w:cs="Arial"/>
          <w:b/>
          <w:sz w:val="20"/>
          <w:szCs w:val="20"/>
          <w:lang w:val="en-GB" w:eastAsia="en-US"/>
        </w:rPr>
        <w:t>E-mail Address:</w:t>
      </w:r>
      <w:r>
        <w:rPr>
          <w:rFonts w:ascii="Calibri" w:eastAsia="等线" w:hAnsi="Calibri" w:cs="Arial"/>
          <w:color w:val="0000FF"/>
          <w:sz w:val="20"/>
          <w:szCs w:val="20"/>
          <w:lang w:val="en-GB" w:eastAsia="en-US"/>
        </w:rPr>
        <w:tab/>
      </w:r>
      <w:r>
        <w:rPr>
          <w:rFonts w:ascii="Calibri" w:eastAsia="等线" w:hAnsi="Calibri" w:cs="Arial"/>
          <w:color w:val="0000FF"/>
          <w:sz w:val="20"/>
          <w:szCs w:val="20"/>
          <w:lang w:val="en-GB" w:eastAsia="en-US"/>
        </w:rPr>
        <w:tab/>
      </w:r>
      <w:r>
        <w:rPr>
          <w:rFonts w:ascii="Arial" w:eastAsia="等线" w:hAnsi="Arial" w:cs="Arial"/>
          <w:bCs/>
          <w:sz w:val="20"/>
          <w:szCs w:val="20"/>
          <w:lang w:val="en-GB" w:eastAsia="en-US"/>
        </w:rPr>
        <w:t>gao.yuan66@zte.com.cn</w:t>
      </w:r>
    </w:p>
    <w:p w:rsidR="001C2189" w:rsidRDefault="001C2189">
      <w:pPr>
        <w:widowControl/>
        <w:pBdr>
          <w:bottom w:val="single" w:sz="4" w:space="1" w:color="auto"/>
        </w:pBdr>
        <w:spacing w:after="0" w:line="240" w:lineRule="auto"/>
        <w:jc w:val="left"/>
        <w:rPr>
          <w:rFonts w:ascii="Arial" w:eastAsia="等线" w:hAnsi="Arial" w:cs="Arial"/>
          <w:kern w:val="0"/>
          <w:sz w:val="20"/>
          <w:szCs w:val="20"/>
          <w:lang w:val="en-GB" w:eastAsia="en-US"/>
        </w:rPr>
      </w:pPr>
    </w:p>
    <w:p w:rsidR="001C2189" w:rsidRDefault="001C2189">
      <w:pPr>
        <w:widowControl/>
        <w:spacing w:after="0" w:line="240" w:lineRule="auto"/>
        <w:jc w:val="left"/>
        <w:rPr>
          <w:rFonts w:ascii="Arial" w:eastAsia="等线" w:hAnsi="Arial" w:cs="Arial"/>
          <w:kern w:val="0"/>
          <w:sz w:val="20"/>
          <w:szCs w:val="20"/>
          <w:lang w:val="en-GB" w:eastAsia="en-US"/>
        </w:rPr>
      </w:pPr>
    </w:p>
    <w:p w:rsidR="001C2189" w:rsidRDefault="00FD238F">
      <w:pPr>
        <w:widowControl/>
        <w:spacing w:after="120" w:line="240" w:lineRule="auto"/>
        <w:jc w:val="left"/>
        <w:rPr>
          <w:rFonts w:ascii="Arial" w:eastAsia="等线" w:hAnsi="Arial" w:cs="Arial"/>
          <w:b/>
          <w:kern w:val="0"/>
          <w:sz w:val="20"/>
          <w:szCs w:val="20"/>
          <w:lang w:val="en-GB" w:eastAsia="en-US"/>
        </w:rPr>
      </w:pPr>
      <w:r>
        <w:rPr>
          <w:rFonts w:ascii="Arial" w:eastAsia="等线" w:hAnsi="Arial" w:cs="Arial"/>
          <w:b/>
          <w:kern w:val="0"/>
          <w:sz w:val="20"/>
          <w:szCs w:val="20"/>
          <w:lang w:val="en-GB" w:eastAsia="en-US"/>
        </w:rPr>
        <w:t>1. Overall Description:</w:t>
      </w:r>
    </w:p>
    <w:p w:rsidR="001C2189" w:rsidRDefault="001C2189">
      <w:pPr>
        <w:widowControl/>
        <w:spacing w:after="0" w:line="240" w:lineRule="auto"/>
        <w:jc w:val="left"/>
        <w:rPr>
          <w:rFonts w:eastAsia="等线"/>
          <w:kern w:val="0"/>
          <w:sz w:val="20"/>
          <w:szCs w:val="20"/>
          <w:lang w:val="en-GB" w:eastAsia="en-US"/>
        </w:rPr>
      </w:pPr>
    </w:p>
    <w:p w:rsidR="001C2189" w:rsidRDefault="00FD238F">
      <w:pPr>
        <w:widowControl/>
        <w:spacing w:after="0" w:line="240" w:lineRule="auto"/>
        <w:jc w:val="left"/>
        <w:rPr>
          <w:rFonts w:ascii="Arial" w:eastAsia="等线" w:hAnsi="Arial" w:cs="Arial"/>
          <w:kern w:val="0"/>
          <w:sz w:val="20"/>
          <w:szCs w:val="20"/>
        </w:rPr>
      </w:pPr>
      <w:r>
        <w:rPr>
          <w:rFonts w:ascii="Arial" w:eastAsia="等线" w:hAnsi="Arial" w:cs="Arial" w:hint="eastAsia"/>
          <w:kern w:val="0"/>
          <w:sz w:val="20"/>
          <w:szCs w:val="20"/>
          <w:lang w:val="en-GB" w:eastAsia="ko-KR"/>
        </w:rPr>
        <w:t xml:space="preserve">RAN2 </w:t>
      </w:r>
      <w:r>
        <w:rPr>
          <w:rFonts w:ascii="Arial" w:eastAsia="等线" w:hAnsi="Arial" w:cs="Arial" w:hint="eastAsia"/>
          <w:kern w:val="0"/>
          <w:sz w:val="20"/>
          <w:szCs w:val="20"/>
        </w:rPr>
        <w:t>has discussed SMTC and measurement gap configuration in NTN and agreed that the current signaling for SMTC configuration in NR is reused while the measurement gap length is extended based on the max propagation delay difference between the serving and the neighboring satellite so that UE will be able to detect SSB from serving and neighboring satellites.</w:t>
      </w:r>
    </w:p>
    <w:p w:rsidR="001C2189" w:rsidRDefault="001C2189">
      <w:pPr>
        <w:widowControl/>
        <w:spacing w:after="0" w:line="240" w:lineRule="auto"/>
        <w:jc w:val="left"/>
        <w:rPr>
          <w:rFonts w:ascii="Arial" w:eastAsia="等线" w:hAnsi="Arial" w:cs="Arial"/>
          <w:kern w:val="0"/>
          <w:sz w:val="20"/>
          <w:szCs w:val="20"/>
          <w:lang w:eastAsia="en-US"/>
        </w:rPr>
      </w:pPr>
    </w:p>
    <w:p w:rsidR="001C2189" w:rsidRDefault="00FD238F">
      <w:pPr>
        <w:widowControl/>
        <w:spacing w:after="0" w:line="240" w:lineRule="auto"/>
        <w:rPr>
          <w:rFonts w:ascii="Arial" w:eastAsia="等线" w:hAnsi="Arial" w:cs="Arial"/>
          <w:b/>
          <w:kern w:val="0"/>
          <w:sz w:val="20"/>
          <w:szCs w:val="20"/>
          <w:lang w:val="en-GB" w:eastAsia="en-US"/>
        </w:rPr>
      </w:pPr>
      <w:r>
        <w:rPr>
          <w:rFonts w:ascii="Arial" w:eastAsia="等线" w:hAnsi="Arial" w:cs="Arial"/>
          <w:b/>
          <w:kern w:val="0"/>
          <w:sz w:val="20"/>
          <w:szCs w:val="20"/>
          <w:lang w:val="en-GB" w:eastAsia="en-US"/>
        </w:rPr>
        <w:t>2. Actions:</w:t>
      </w:r>
    </w:p>
    <w:p w:rsidR="001C2189" w:rsidRDefault="001C2189">
      <w:pPr>
        <w:widowControl/>
        <w:spacing w:after="0" w:line="240" w:lineRule="auto"/>
        <w:rPr>
          <w:rFonts w:ascii="Arial" w:eastAsia="等线" w:hAnsi="Arial" w:cs="Arial"/>
          <w:b/>
          <w:kern w:val="0"/>
          <w:sz w:val="20"/>
          <w:szCs w:val="20"/>
          <w:lang w:val="en-GB" w:eastAsia="en-US"/>
        </w:rPr>
      </w:pPr>
    </w:p>
    <w:p w:rsidR="001C2189" w:rsidRDefault="00FD238F">
      <w:pPr>
        <w:widowControl/>
        <w:spacing w:after="0" w:line="240" w:lineRule="auto"/>
        <w:jc w:val="left"/>
        <w:rPr>
          <w:rFonts w:ascii="Arial" w:eastAsia="等线" w:hAnsi="Arial" w:cs="Arial"/>
          <w:kern w:val="0"/>
          <w:sz w:val="20"/>
          <w:szCs w:val="20"/>
        </w:rPr>
      </w:pPr>
      <w:r>
        <w:rPr>
          <w:rFonts w:ascii="Arial" w:eastAsia="等线" w:hAnsi="Arial" w:cs="Arial"/>
          <w:kern w:val="0"/>
          <w:sz w:val="20"/>
          <w:szCs w:val="20"/>
          <w:lang w:val="en-GB" w:eastAsia="ko-KR"/>
        </w:rPr>
        <w:t xml:space="preserve">RAN2 kindly asks </w:t>
      </w:r>
      <w:r>
        <w:rPr>
          <w:rFonts w:ascii="Arial" w:eastAsia="等线" w:hAnsi="Arial" w:cs="Arial" w:hint="eastAsia"/>
          <w:kern w:val="0"/>
          <w:sz w:val="20"/>
          <w:szCs w:val="20"/>
        </w:rPr>
        <w:t>RAN4 to evaluate the feasibility of the above solution and provide any feedback.</w:t>
      </w:r>
    </w:p>
    <w:p w:rsidR="001C2189" w:rsidRDefault="001C2189">
      <w:pPr>
        <w:widowControl/>
        <w:spacing w:after="0" w:line="240" w:lineRule="auto"/>
        <w:rPr>
          <w:rFonts w:ascii="Arial" w:eastAsia="等线" w:hAnsi="Arial" w:cs="Arial"/>
          <w:b/>
          <w:kern w:val="0"/>
          <w:sz w:val="20"/>
          <w:szCs w:val="20"/>
          <w:lang w:val="en-GB" w:eastAsia="en-US"/>
        </w:rPr>
      </w:pPr>
    </w:p>
    <w:p w:rsidR="001C2189" w:rsidRDefault="00FD238F">
      <w:pPr>
        <w:widowControl/>
        <w:spacing w:after="120" w:line="240" w:lineRule="auto"/>
        <w:jc w:val="left"/>
        <w:rPr>
          <w:rFonts w:ascii="Arial" w:eastAsia="等线" w:hAnsi="Arial" w:cs="Arial"/>
          <w:b/>
          <w:kern w:val="0"/>
          <w:sz w:val="20"/>
          <w:szCs w:val="20"/>
          <w:lang w:val="en-GB" w:eastAsia="en-US"/>
        </w:rPr>
      </w:pPr>
      <w:r>
        <w:rPr>
          <w:rFonts w:ascii="Arial" w:eastAsia="等线" w:hAnsi="Arial" w:cs="Arial"/>
          <w:b/>
          <w:kern w:val="0"/>
          <w:sz w:val="20"/>
          <w:szCs w:val="20"/>
          <w:lang w:val="en-GB" w:eastAsia="en-US"/>
        </w:rPr>
        <w:t>3. Date of Next TSG-RAN WG2 Meetings:</w:t>
      </w:r>
    </w:p>
    <w:p w:rsidR="001C2189" w:rsidRDefault="00FD238F">
      <w:pPr>
        <w:widowControl/>
        <w:spacing w:after="0" w:line="240" w:lineRule="auto"/>
        <w:rPr>
          <w:sz w:val="20"/>
          <w:szCs w:val="20"/>
        </w:rPr>
      </w:pPr>
      <w:r>
        <w:rPr>
          <w:rFonts w:ascii="Arial" w:eastAsia="等线" w:hAnsi="Arial" w:cs="Arial" w:hint="eastAsia"/>
          <w:kern w:val="0"/>
          <w:sz w:val="20"/>
          <w:szCs w:val="20"/>
        </w:rPr>
        <w:t xml:space="preserve">RAN2#113           </w:t>
      </w:r>
      <w:r>
        <w:rPr>
          <w:rFonts w:ascii="Arial" w:eastAsia="等线" w:hAnsi="Arial" w:cs="Arial" w:hint="eastAsia"/>
          <w:kern w:val="0"/>
          <w:sz w:val="20"/>
          <w:szCs w:val="20"/>
        </w:rPr>
        <w:tab/>
      </w:r>
      <w:r>
        <w:rPr>
          <w:rFonts w:ascii="Arial" w:eastAsia="等线" w:hAnsi="Arial" w:cs="Arial"/>
          <w:kern w:val="0"/>
          <w:sz w:val="20"/>
          <w:szCs w:val="20"/>
          <w:lang w:val="en-GB" w:eastAsia="ko-KR"/>
        </w:rPr>
        <w:t>202</w:t>
      </w:r>
      <w:r>
        <w:rPr>
          <w:rFonts w:ascii="Arial" w:eastAsia="等线" w:hAnsi="Arial" w:cs="Arial" w:hint="eastAsia"/>
          <w:kern w:val="0"/>
          <w:sz w:val="20"/>
          <w:szCs w:val="20"/>
        </w:rPr>
        <w:t>1</w:t>
      </w:r>
      <w:r>
        <w:rPr>
          <w:rFonts w:ascii="Arial" w:eastAsia="等线" w:hAnsi="Arial" w:cs="Arial"/>
          <w:kern w:val="0"/>
          <w:sz w:val="20"/>
          <w:szCs w:val="20"/>
          <w:lang w:val="en-GB" w:eastAsia="ko-KR"/>
        </w:rPr>
        <w:t>-</w:t>
      </w:r>
      <w:r>
        <w:rPr>
          <w:rFonts w:ascii="Arial" w:eastAsia="等线" w:hAnsi="Arial" w:cs="Arial" w:hint="eastAsia"/>
          <w:kern w:val="0"/>
          <w:sz w:val="20"/>
          <w:szCs w:val="20"/>
        </w:rPr>
        <w:t>01</w:t>
      </w:r>
      <w:r>
        <w:rPr>
          <w:rFonts w:ascii="Arial" w:eastAsia="等线" w:hAnsi="Arial" w:cs="Arial"/>
          <w:kern w:val="0"/>
          <w:sz w:val="20"/>
          <w:szCs w:val="20"/>
          <w:lang w:val="en-GB" w:eastAsia="ko-KR"/>
        </w:rPr>
        <w:t>-</w:t>
      </w:r>
      <w:r>
        <w:rPr>
          <w:rFonts w:ascii="Arial" w:eastAsia="等线" w:hAnsi="Arial" w:cs="Arial" w:hint="eastAsia"/>
          <w:kern w:val="0"/>
          <w:sz w:val="20"/>
          <w:szCs w:val="20"/>
        </w:rPr>
        <w:t>25</w:t>
      </w:r>
      <w:r>
        <w:rPr>
          <w:rFonts w:ascii="Arial" w:eastAsia="等线" w:hAnsi="Arial" w:cs="Arial"/>
          <w:kern w:val="0"/>
          <w:sz w:val="20"/>
          <w:szCs w:val="20"/>
          <w:lang w:val="en-GB" w:eastAsia="ko-KR"/>
        </w:rPr>
        <w:tab/>
        <w:t>202</w:t>
      </w:r>
      <w:r>
        <w:rPr>
          <w:rFonts w:ascii="Arial" w:eastAsia="等线" w:hAnsi="Arial" w:cs="Arial" w:hint="eastAsia"/>
          <w:kern w:val="0"/>
          <w:sz w:val="20"/>
          <w:szCs w:val="20"/>
        </w:rPr>
        <w:t>1</w:t>
      </w:r>
      <w:r>
        <w:rPr>
          <w:rFonts w:ascii="Arial" w:eastAsia="等线" w:hAnsi="Arial" w:cs="Arial"/>
          <w:kern w:val="0"/>
          <w:sz w:val="20"/>
          <w:szCs w:val="20"/>
          <w:lang w:val="en-GB" w:eastAsia="ko-KR"/>
        </w:rPr>
        <w:t>-</w:t>
      </w:r>
      <w:r>
        <w:rPr>
          <w:rFonts w:ascii="Arial" w:eastAsia="等线" w:hAnsi="Arial" w:cs="Arial" w:hint="eastAsia"/>
          <w:kern w:val="0"/>
          <w:sz w:val="20"/>
          <w:szCs w:val="20"/>
        </w:rPr>
        <w:t>02</w:t>
      </w:r>
      <w:r>
        <w:rPr>
          <w:rFonts w:ascii="Arial" w:eastAsia="等线" w:hAnsi="Arial" w:cs="Arial"/>
          <w:kern w:val="0"/>
          <w:sz w:val="20"/>
          <w:szCs w:val="20"/>
          <w:lang w:val="en-GB" w:eastAsia="ko-KR"/>
        </w:rPr>
        <w:t>-</w:t>
      </w:r>
      <w:r>
        <w:rPr>
          <w:rFonts w:ascii="Arial" w:eastAsia="等线" w:hAnsi="Arial" w:cs="Arial" w:hint="eastAsia"/>
          <w:kern w:val="0"/>
          <w:sz w:val="20"/>
          <w:szCs w:val="20"/>
        </w:rPr>
        <w:t>05</w:t>
      </w:r>
      <w:r>
        <w:rPr>
          <w:rFonts w:ascii="Arial" w:eastAsia="等线" w:hAnsi="Arial" w:cs="Arial"/>
          <w:kern w:val="0"/>
          <w:sz w:val="20"/>
          <w:szCs w:val="20"/>
          <w:lang w:val="en-GB" w:eastAsia="ko-KR"/>
        </w:rPr>
        <w:tab/>
      </w:r>
      <w:r>
        <w:rPr>
          <w:rFonts w:ascii="Arial" w:eastAsia="等线" w:hAnsi="Arial" w:cs="Arial" w:hint="eastAsia"/>
          <w:kern w:val="0"/>
          <w:sz w:val="20"/>
          <w:szCs w:val="20"/>
        </w:rPr>
        <w:t>Online Meeting</w:t>
      </w:r>
    </w:p>
    <w:p w:rsidR="001C2189" w:rsidRDefault="00FD238F">
      <w:pPr>
        <w:widowControl/>
        <w:spacing w:after="0" w:line="240" w:lineRule="auto"/>
        <w:rPr>
          <w:sz w:val="20"/>
          <w:szCs w:val="20"/>
        </w:rPr>
      </w:pPr>
      <w:r>
        <w:rPr>
          <w:rFonts w:ascii="Arial" w:eastAsia="等线" w:hAnsi="Arial" w:cs="Arial" w:hint="eastAsia"/>
          <w:kern w:val="0"/>
          <w:sz w:val="20"/>
          <w:szCs w:val="20"/>
        </w:rPr>
        <w:t xml:space="preserve">RAN2#113-bis        </w:t>
      </w:r>
      <w:r>
        <w:rPr>
          <w:rFonts w:ascii="Arial" w:eastAsia="等线" w:hAnsi="Arial" w:cs="Arial"/>
          <w:kern w:val="0"/>
          <w:sz w:val="20"/>
          <w:szCs w:val="20"/>
          <w:lang w:val="en-GB" w:eastAsia="ko-KR"/>
        </w:rPr>
        <w:t>202</w:t>
      </w:r>
      <w:r>
        <w:rPr>
          <w:rFonts w:ascii="Arial" w:eastAsia="等线" w:hAnsi="Arial" w:cs="Arial" w:hint="eastAsia"/>
          <w:kern w:val="0"/>
          <w:sz w:val="20"/>
          <w:szCs w:val="20"/>
        </w:rPr>
        <w:t>1</w:t>
      </w:r>
      <w:r>
        <w:rPr>
          <w:rFonts w:ascii="Arial" w:eastAsia="等线" w:hAnsi="Arial" w:cs="Arial"/>
          <w:kern w:val="0"/>
          <w:sz w:val="20"/>
          <w:szCs w:val="20"/>
          <w:lang w:val="en-GB" w:eastAsia="ko-KR"/>
        </w:rPr>
        <w:t>-</w:t>
      </w:r>
      <w:r>
        <w:rPr>
          <w:rFonts w:ascii="Arial" w:eastAsia="等线" w:hAnsi="Arial" w:cs="Arial" w:hint="eastAsia"/>
          <w:kern w:val="0"/>
          <w:sz w:val="20"/>
          <w:szCs w:val="20"/>
        </w:rPr>
        <w:t>04</w:t>
      </w:r>
      <w:r>
        <w:rPr>
          <w:rFonts w:ascii="Arial" w:eastAsia="等线" w:hAnsi="Arial" w:cs="Arial"/>
          <w:kern w:val="0"/>
          <w:sz w:val="20"/>
          <w:szCs w:val="20"/>
          <w:lang w:val="en-GB" w:eastAsia="ko-KR"/>
        </w:rPr>
        <w:t>-</w:t>
      </w:r>
      <w:r>
        <w:rPr>
          <w:rFonts w:ascii="Arial" w:eastAsia="等线" w:hAnsi="Arial" w:cs="Arial" w:hint="eastAsia"/>
          <w:kern w:val="0"/>
          <w:sz w:val="20"/>
          <w:szCs w:val="20"/>
        </w:rPr>
        <w:t>12</w:t>
      </w:r>
      <w:r>
        <w:rPr>
          <w:rFonts w:ascii="Arial" w:eastAsia="等线" w:hAnsi="Arial" w:cs="Arial"/>
          <w:kern w:val="0"/>
          <w:sz w:val="20"/>
          <w:szCs w:val="20"/>
          <w:lang w:val="en-GB" w:eastAsia="ko-KR"/>
        </w:rPr>
        <w:tab/>
        <w:t>202</w:t>
      </w:r>
      <w:r>
        <w:rPr>
          <w:rFonts w:ascii="Arial" w:eastAsia="等线" w:hAnsi="Arial" w:cs="Arial" w:hint="eastAsia"/>
          <w:kern w:val="0"/>
          <w:sz w:val="20"/>
          <w:szCs w:val="20"/>
        </w:rPr>
        <w:t>1</w:t>
      </w:r>
      <w:r>
        <w:rPr>
          <w:rFonts w:ascii="Arial" w:eastAsia="等线" w:hAnsi="Arial" w:cs="Arial"/>
          <w:kern w:val="0"/>
          <w:sz w:val="20"/>
          <w:szCs w:val="20"/>
          <w:lang w:val="en-GB" w:eastAsia="ko-KR"/>
        </w:rPr>
        <w:t>-</w:t>
      </w:r>
      <w:r>
        <w:rPr>
          <w:rFonts w:ascii="Arial" w:eastAsia="等线" w:hAnsi="Arial" w:cs="Arial" w:hint="eastAsia"/>
          <w:kern w:val="0"/>
          <w:sz w:val="20"/>
          <w:szCs w:val="20"/>
        </w:rPr>
        <w:t>04</w:t>
      </w:r>
      <w:r>
        <w:rPr>
          <w:rFonts w:ascii="Arial" w:eastAsia="等线" w:hAnsi="Arial" w:cs="Arial"/>
          <w:kern w:val="0"/>
          <w:sz w:val="20"/>
          <w:szCs w:val="20"/>
          <w:lang w:val="en-GB" w:eastAsia="ko-KR"/>
        </w:rPr>
        <w:t>-</w:t>
      </w:r>
      <w:r>
        <w:rPr>
          <w:rFonts w:ascii="Arial" w:eastAsia="等线" w:hAnsi="Arial" w:cs="Arial" w:hint="eastAsia"/>
          <w:kern w:val="0"/>
          <w:sz w:val="20"/>
          <w:szCs w:val="20"/>
        </w:rPr>
        <w:t>20</w:t>
      </w:r>
      <w:r>
        <w:rPr>
          <w:rFonts w:ascii="Arial" w:eastAsia="等线" w:hAnsi="Arial" w:cs="Arial"/>
          <w:kern w:val="0"/>
          <w:sz w:val="20"/>
          <w:szCs w:val="20"/>
          <w:lang w:val="en-GB" w:eastAsia="ko-KR"/>
        </w:rPr>
        <w:tab/>
      </w:r>
      <w:r>
        <w:rPr>
          <w:rFonts w:ascii="Arial" w:eastAsia="等线" w:hAnsi="Arial" w:cs="Arial" w:hint="eastAsia"/>
          <w:kern w:val="0"/>
          <w:sz w:val="20"/>
          <w:szCs w:val="20"/>
        </w:rPr>
        <w:t>Online Meeting</w:t>
      </w:r>
    </w:p>
    <w:p w:rsidR="001C2189" w:rsidRDefault="001C2189">
      <w:pPr>
        <w:pStyle w:val="ListParagraph"/>
        <w:numPr>
          <w:ilvl w:val="255"/>
          <w:numId w:val="0"/>
        </w:numPr>
        <w:spacing w:line="260" w:lineRule="auto"/>
        <w:jc w:val="left"/>
        <w:rPr>
          <w:sz w:val="20"/>
          <w:szCs w:val="20"/>
        </w:rPr>
      </w:pPr>
    </w:p>
    <w:sectPr w:rsidR="001C2189">
      <w:headerReference w:type="default" r:id="rId27"/>
      <w:footerReference w:type="even" r:id="rId28"/>
      <w:footerReference w:type="default" r:id="rId29"/>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554C" w:rsidRDefault="00E4554C">
      <w:pPr>
        <w:spacing w:after="0" w:line="240" w:lineRule="auto"/>
      </w:pPr>
      <w:r>
        <w:separator/>
      </w:r>
    </w:p>
  </w:endnote>
  <w:endnote w:type="continuationSeparator" w:id="0">
    <w:p w:rsidR="00E4554C" w:rsidRDefault="00E455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宋体"/>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189" w:rsidRDefault="00FD23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C2189" w:rsidRDefault="001C218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189" w:rsidRDefault="001C2189">
    <w:pPr>
      <w:pStyle w:val="Footer"/>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554C" w:rsidRDefault="00E4554C">
      <w:pPr>
        <w:spacing w:after="0" w:line="240" w:lineRule="auto"/>
      </w:pPr>
      <w:r>
        <w:separator/>
      </w:r>
    </w:p>
  </w:footnote>
  <w:footnote w:type="continuationSeparator" w:id="0">
    <w:p w:rsidR="00E4554C" w:rsidRDefault="00E4554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189" w:rsidRDefault="001C2189">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72FF2ED"/>
    <w:multiLevelType w:val="singleLevel"/>
    <w:tmpl w:val="A72FF2ED"/>
    <w:lvl w:ilvl="0">
      <w:start w:val="1"/>
      <w:numFmt w:val="bullet"/>
      <w:lvlText w:val=""/>
      <w:lvlJc w:val="left"/>
      <w:pPr>
        <w:tabs>
          <w:tab w:val="left" w:pos="420"/>
        </w:tabs>
        <w:ind w:left="840" w:hanging="420"/>
      </w:pPr>
      <w:rPr>
        <w:rFonts w:ascii="Wingdings" w:hAnsi="Wingdings" w:hint="default"/>
      </w:rPr>
    </w:lvl>
  </w:abstractNum>
  <w:abstractNum w:abstractNumId="1">
    <w:nsid w:val="C6F76419"/>
    <w:multiLevelType w:val="singleLevel"/>
    <w:tmpl w:val="C6F76419"/>
    <w:lvl w:ilvl="0">
      <w:start w:val="1"/>
      <w:numFmt w:val="bullet"/>
      <w:lvlText w:val=""/>
      <w:lvlJc w:val="left"/>
      <w:pPr>
        <w:tabs>
          <w:tab w:val="left" w:pos="420"/>
        </w:tabs>
        <w:ind w:left="840" w:hanging="420"/>
      </w:pPr>
      <w:rPr>
        <w:rFonts w:ascii="Wingdings" w:hAnsi="Wingdings" w:hint="default"/>
      </w:rPr>
    </w:lvl>
  </w:abstractNum>
  <w:abstractNum w:abstractNumId="2">
    <w:nsid w:val="DDFFF9CC"/>
    <w:multiLevelType w:val="multilevel"/>
    <w:tmpl w:val="DDFFF9C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4">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3CEB4A96"/>
    <w:multiLevelType w:val="multilevel"/>
    <w:tmpl w:val="3CEB4A9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nsid w:val="3EE46544"/>
    <w:multiLevelType w:val="multilevel"/>
    <w:tmpl w:val="3EE465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4C754824"/>
    <w:multiLevelType w:val="singleLevel"/>
    <w:tmpl w:val="4C754824"/>
    <w:lvl w:ilvl="0">
      <w:start w:val="1"/>
      <w:numFmt w:val="bullet"/>
      <w:lvlText w:val=""/>
      <w:lvlJc w:val="left"/>
      <w:pPr>
        <w:ind w:left="420" w:hanging="420"/>
      </w:pPr>
      <w:rPr>
        <w:rFonts w:ascii="Wingdings" w:hAnsi="Wingdings" w:hint="default"/>
      </w:rPr>
    </w:lvl>
  </w:abstractNum>
  <w:abstractNum w:abstractNumId="8">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3"/>
  </w:num>
  <w:num w:numId="2">
    <w:abstractNumId w:val="8"/>
  </w:num>
  <w:num w:numId="3">
    <w:abstractNumId w:val="4"/>
  </w:num>
  <w:num w:numId="4">
    <w:abstractNumId w:val="0"/>
  </w:num>
  <w:num w:numId="5">
    <w:abstractNumId w:val="7"/>
  </w:num>
  <w:num w:numId="6">
    <w:abstractNumId w:val="5"/>
  </w:num>
  <w:num w:numId="7">
    <w:abstractNumId w:val="1"/>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07"/>
    <w:rsid w:val="00001366"/>
    <w:rsid w:val="0000394D"/>
    <w:rsid w:val="000055B1"/>
    <w:rsid w:val="00005B70"/>
    <w:rsid w:val="000103E7"/>
    <w:rsid w:val="000130CA"/>
    <w:rsid w:val="00013F73"/>
    <w:rsid w:val="00013FAD"/>
    <w:rsid w:val="00017BA5"/>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554CA"/>
    <w:rsid w:val="000563ED"/>
    <w:rsid w:val="000603D6"/>
    <w:rsid w:val="00062984"/>
    <w:rsid w:val="00062D12"/>
    <w:rsid w:val="00067927"/>
    <w:rsid w:val="0007093A"/>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4B76"/>
    <w:rsid w:val="000B65CB"/>
    <w:rsid w:val="000B780E"/>
    <w:rsid w:val="000C12FB"/>
    <w:rsid w:val="000C236D"/>
    <w:rsid w:val="000C2690"/>
    <w:rsid w:val="000C364E"/>
    <w:rsid w:val="000C3F9F"/>
    <w:rsid w:val="000C5D4C"/>
    <w:rsid w:val="000C7A47"/>
    <w:rsid w:val="000C7F88"/>
    <w:rsid w:val="000C7FC7"/>
    <w:rsid w:val="000D18C5"/>
    <w:rsid w:val="000D2BF9"/>
    <w:rsid w:val="000E1125"/>
    <w:rsid w:val="000E1993"/>
    <w:rsid w:val="000E3B8A"/>
    <w:rsid w:val="000F0A7B"/>
    <w:rsid w:val="000F4CFF"/>
    <w:rsid w:val="00100030"/>
    <w:rsid w:val="0010359D"/>
    <w:rsid w:val="00103DDB"/>
    <w:rsid w:val="00111C96"/>
    <w:rsid w:val="00111CE0"/>
    <w:rsid w:val="00111DF0"/>
    <w:rsid w:val="001135C5"/>
    <w:rsid w:val="001147C0"/>
    <w:rsid w:val="00115029"/>
    <w:rsid w:val="001156DF"/>
    <w:rsid w:val="001253A3"/>
    <w:rsid w:val="00126145"/>
    <w:rsid w:val="0012673B"/>
    <w:rsid w:val="001277F8"/>
    <w:rsid w:val="00131F75"/>
    <w:rsid w:val="0013288E"/>
    <w:rsid w:val="00134275"/>
    <w:rsid w:val="0013534D"/>
    <w:rsid w:val="00135E30"/>
    <w:rsid w:val="00137B0E"/>
    <w:rsid w:val="00137D4E"/>
    <w:rsid w:val="001413B6"/>
    <w:rsid w:val="00141772"/>
    <w:rsid w:val="00141835"/>
    <w:rsid w:val="00145AFF"/>
    <w:rsid w:val="00147740"/>
    <w:rsid w:val="00150BAB"/>
    <w:rsid w:val="00156452"/>
    <w:rsid w:val="00160A40"/>
    <w:rsid w:val="001627D9"/>
    <w:rsid w:val="00166209"/>
    <w:rsid w:val="00170C6A"/>
    <w:rsid w:val="00171FF9"/>
    <w:rsid w:val="0017245C"/>
    <w:rsid w:val="00172A27"/>
    <w:rsid w:val="00175874"/>
    <w:rsid w:val="001767E6"/>
    <w:rsid w:val="00176AC2"/>
    <w:rsid w:val="001802FB"/>
    <w:rsid w:val="001806A8"/>
    <w:rsid w:val="00180983"/>
    <w:rsid w:val="0018310D"/>
    <w:rsid w:val="00184250"/>
    <w:rsid w:val="00184786"/>
    <w:rsid w:val="00187FEF"/>
    <w:rsid w:val="00190A8D"/>
    <w:rsid w:val="0019547D"/>
    <w:rsid w:val="00195E1F"/>
    <w:rsid w:val="00196645"/>
    <w:rsid w:val="00197997"/>
    <w:rsid w:val="001A22A7"/>
    <w:rsid w:val="001A384E"/>
    <w:rsid w:val="001A4015"/>
    <w:rsid w:val="001A6AFD"/>
    <w:rsid w:val="001A75C4"/>
    <w:rsid w:val="001B21A1"/>
    <w:rsid w:val="001B337C"/>
    <w:rsid w:val="001B5AE5"/>
    <w:rsid w:val="001B6518"/>
    <w:rsid w:val="001B7027"/>
    <w:rsid w:val="001B7C67"/>
    <w:rsid w:val="001C0CED"/>
    <w:rsid w:val="001C1105"/>
    <w:rsid w:val="001C17C6"/>
    <w:rsid w:val="001C2189"/>
    <w:rsid w:val="001C22DE"/>
    <w:rsid w:val="001C2425"/>
    <w:rsid w:val="001C3C4C"/>
    <w:rsid w:val="001C7F10"/>
    <w:rsid w:val="001D2914"/>
    <w:rsid w:val="001D2FB0"/>
    <w:rsid w:val="001E0341"/>
    <w:rsid w:val="001E1C36"/>
    <w:rsid w:val="001E3D8C"/>
    <w:rsid w:val="001E43EF"/>
    <w:rsid w:val="001E44CD"/>
    <w:rsid w:val="001E6F40"/>
    <w:rsid w:val="001E7559"/>
    <w:rsid w:val="001F31F0"/>
    <w:rsid w:val="001F3DF5"/>
    <w:rsid w:val="001F4346"/>
    <w:rsid w:val="001F4488"/>
    <w:rsid w:val="00201FFE"/>
    <w:rsid w:val="00202C4B"/>
    <w:rsid w:val="002035B4"/>
    <w:rsid w:val="00203774"/>
    <w:rsid w:val="00203B88"/>
    <w:rsid w:val="00205321"/>
    <w:rsid w:val="00206380"/>
    <w:rsid w:val="002155FA"/>
    <w:rsid w:val="002176DE"/>
    <w:rsid w:val="00220834"/>
    <w:rsid w:val="00223B64"/>
    <w:rsid w:val="0023029F"/>
    <w:rsid w:val="00231281"/>
    <w:rsid w:val="00231D10"/>
    <w:rsid w:val="00231DC2"/>
    <w:rsid w:val="00232A02"/>
    <w:rsid w:val="002333B7"/>
    <w:rsid w:val="002339C1"/>
    <w:rsid w:val="002344F2"/>
    <w:rsid w:val="002368E4"/>
    <w:rsid w:val="00236F8F"/>
    <w:rsid w:val="00241832"/>
    <w:rsid w:val="00242E0D"/>
    <w:rsid w:val="00244D42"/>
    <w:rsid w:val="00245149"/>
    <w:rsid w:val="00246FFA"/>
    <w:rsid w:val="00247076"/>
    <w:rsid w:val="00252B94"/>
    <w:rsid w:val="00255E19"/>
    <w:rsid w:val="0025653A"/>
    <w:rsid w:val="00256C2E"/>
    <w:rsid w:val="00257233"/>
    <w:rsid w:val="00257421"/>
    <w:rsid w:val="00260716"/>
    <w:rsid w:val="0026193E"/>
    <w:rsid w:val="00261A9C"/>
    <w:rsid w:val="00261E11"/>
    <w:rsid w:val="00262518"/>
    <w:rsid w:val="0026554F"/>
    <w:rsid w:val="00267D0B"/>
    <w:rsid w:val="00270A1C"/>
    <w:rsid w:val="002716E8"/>
    <w:rsid w:val="00271ED8"/>
    <w:rsid w:val="002724B9"/>
    <w:rsid w:val="00272584"/>
    <w:rsid w:val="002730ED"/>
    <w:rsid w:val="0027675D"/>
    <w:rsid w:val="00281718"/>
    <w:rsid w:val="00283B4B"/>
    <w:rsid w:val="002854AD"/>
    <w:rsid w:val="002855D0"/>
    <w:rsid w:val="00290E18"/>
    <w:rsid w:val="00291D54"/>
    <w:rsid w:val="00293A6E"/>
    <w:rsid w:val="00296302"/>
    <w:rsid w:val="00297A88"/>
    <w:rsid w:val="002A43A8"/>
    <w:rsid w:val="002A66AB"/>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674B"/>
    <w:rsid w:val="002E7525"/>
    <w:rsid w:val="002F01CA"/>
    <w:rsid w:val="002F1163"/>
    <w:rsid w:val="002F12B3"/>
    <w:rsid w:val="002F2924"/>
    <w:rsid w:val="002F3161"/>
    <w:rsid w:val="002F5517"/>
    <w:rsid w:val="002F7AA9"/>
    <w:rsid w:val="003031CE"/>
    <w:rsid w:val="00305358"/>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2713"/>
    <w:rsid w:val="0033386B"/>
    <w:rsid w:val="00333D6C"/>
    <w:rsid w:val="003347C2"/>
    <w:rsid w:val="00334858"/>
    <w:rsid w:val="00335B60"/>
    <w:rsid w:val="00336046"/>
    <w:rsid w:val="003371B2"/>
    <w:rsid w:val="00340AAF"/>
    <w:rsid w:val="00342EC6"/>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70E0A"/>
    <w:rsid w:val="00370E80"/>
    <w:rsid w:val="00371876"/>
    <w:rsid w:val="00372C00"/>
    <w:rsid w:val="003737D0"/>
    <w:rsid w:val="00373D4E"/>
    <w:rsid w:val="003744F2"/>
    <w:rsid w:val="003754F5"/>
    <w:rsid w:val="0037618A"/>
    <w:rsid w:val="00377BA5"/>
    <w:rsid w:val="00381829"/>
    <w:rsid w:val="00381B58"/>
    <w:rsid w:val="00382FAE"/>
    <w:rsid w:val="003832DC"/>
    <w:rsid w:val="00384541"/>
    <w:rsid w:val="00384550"/>
    <w:rsid w:val="00385C87"/>
    <w:rsid w:val="00387F14"/>
    <w:rsid w:val="00391402"/>
    <w:rsid w:val="00391F87"/>
    <w:rsid w:val="00393338"/>
    <w:rsid w:val="00394FC5"/>
    <w:rsid w:val="00396952"/>
    <w:rsid w:val="00397C52"/>
    <w:rsid w:val="003A150D"/>
    <w:rsid w:val="003A2084"/>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2CE7"/>
    <w:rsid w:val="003D42C7"/>
    <w:rsid w:val="003D7765"/>
    <w:rsid w:val="003E1518"/>
    <w:rsid w:val="003E42F6"/>
    <w:rsid w:val="003E48E7"/>
    <w:rsid w:val="003E6BF7"/>
    <w:rsid w:val="003E744C"/>
    <w:rsid w:val="003E7C95"/>
    <w:rsid w:val="003E7D68"/>
    <w:rsid w:val="003F1437"/>
    <w:rsid w:val="003F1B22"/>
    <w:rsid w:val="003F30C9"/>
    <w:rsid w:val="003F3365"/>
    <w:rsid w:val="003F39E3"/>
    <w:rsid w:val="003F448B"/>
    <w:rsid w:val="003F58F6"/>
    <w:rsid w:val="003F6316"/>
    <w:rsid w:val="004009D9"/>
    <w:rsid w:val="00400A1A"/>
    <w:rsid w:val="00401149"/>
    <w:rsid w:val="00401C3E"/>
    <w:rsid w:val="00402720"/>
    <w:rsid w:val="00402985"/>
    <w:rsid w:val="004046D6"/>
    <w:rsid w:val="004060CF"/>
    <w:rsid w:val="00406593"/>
    <w:rsid w:val="004069B2"/>
    <w:rsid w:val="00410275"/>
    <w:rsid w:val="00410408"/>
    <w:rsid w:val="00413229"/>
    <w:rsid w:val="00413D6F"/>
    <w:rsid w:val="00415023"/>
    <w:rsid w:val="004228A3"/>
    <w:rsid w:val="004229AC"/>
    <w:rsid w:val="00423D3B"/>
    <w:rsid w:val="004245A3"/>
    <w:rsid w:val="00424A48"/>
    <w:rsid w:val="00425276"/>
    <w:rsid w:val="004274EC"/>
    <w:rsid w:val="00427917"/>
    <w:rsid w:val="0043487F"/>
    <w:rsid w:val="00436238"/>
    <w:rsid w:val="0043672A"/>
    <w:rsid w:val="00437EF1"/>
    <w:rsid w:val="00441EB5"/>
    <w:rsid w:val="0044341B"/>
    <w:rsid w:val="00443D84"/>
    <w:rsid w:val="00444131"/>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770A0"/>
    <w:rsid w:val="0048006F"/>
    <w:rsid w:val="00481C3A"/>
    <w:rsid w:val="00482BBB"/>
    <w:rsid w:val="0048379B"/>
    <w:rsid w:val="00485114"/>
    <w:rsid w:val="00485AE4"/>
    <w:rsid w:val="00486111"/>
    <w:rsid w:val="00486720"/>
    <w:rsid w:val="0049176F"/>
    <w:rsid w:val="00492EA5"/>
    <w:rsid w:val="00493247"/>
    <w:rsid w:val="004966BC"/>
    <w:rsid w:val="00497BD9"/>
    <w:rsid w:val="00497BFB"/>
    <w:rsid w:val="004A0053"/>
    <w:rsid w:val="004A2687"/>
    <w:rsid w:val="004A402F"/>
    <w:rsid w:val="004A54C0"/>
    <w:rsid w:val="004A7CAA"/>
    <w:rsid w:val="004B056D"/>
    <w:rsid w:val="004B12D7"/>
    <w:rsid w:val="004B2B05"/>
    <w:rsid w:val="004B2BBA"/>
    <w:rsid w:val="004B5502"/>
    <w:rsid w:val="004B71F4"/>
    <w:rsid w:val="004B76B6"/>
    <w:rsid w:val="004C0B5E"/>
    <w:rsid w:val="004C16C3"/>
    <w:rsid w:val="004C16F8"/>
    <w:rsid w:val="004C355B"/>
    <w:rsid w:val="004C6366"/>
    <w:rsid w:val="004C63EE"/>
    <w:rsid w:val="004D1073"/>
    <w:rsid w:val="004D1EE6"/>
    <w:rsid w:val="004D238B"/>
    <w:rsid w:val="004D325D"/>
    <w:rsid w:val="004D33A4"/>
    <w:rsid w:val="004D35E4"/>
    <w:rsid w:val="004D39A3"/>
    <w:rsid w:val="004D7034"/>
    <w:rsid w:val="004E06BE"/>
    <w:rsid w:val="004E3A45"/>
    <w:rsid w:val="004E3B7D"/>
    <w:rsid w:val="004E3E3E"/>
    <w:rsid w:val="004E4863"/>
    <w:rsid w:val="004E5219"/>
    <w:rsid w:val="004E5753"/>
    <w:rsid w:val="004E7DA7"/>
    <w:rsid w:val="004F10CA"/>
    <w:rsid w:val="004F4675"/>
    <w:rsid w:val="004F557E"/>
    <w:rsid w:val="004F5BE1"/>
    <w:rsid w:val="004F68C9"/>
    <w:rsid w:val="00501570"/>
    <w:rsid w:val="005017DA"/>
    <w:rsid w:val="00501E2B"/>
    <w:rsid w:val="00502CB5"/>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4869"/>
    <w:rsid w:val="0053653D"/>
    <w:rsid w:val="005371D2"/>
    <w:rsid w:val="00537528"/>
    <w:rsid w:val="00537668"/>
    <w:rsid w:val="00542ED7"/>
    <w:rsid w:val="00545A76"/>
    <w:rsid w:val="005506C7"/>
    <w:rsid w:val="005514AA"/>
    <w:rsid w:val="00552C4B"/>
    <w:rsid w:val="00553234"/>
    <w:rsid w:val="0055402E"/>
    <w:rsid w:val="0055689F"/>
    <w:rsid w:val="00561349"/>
    <w:rsid w:val="005657FC"/>
    <w:rsid w:val="00567054"/>
    <w:rsid w:val="00567A9A"/>
    <w:rsid w:val="00570FEC"/>
    <w:rsid w:val="00571A8C"/>
    <w:rsid w:val="0057377D"/>
    <w:rsid w:val="00585E04"/>
    <w:rsid w:val="005910DD"/>
    <w:rsid w:val="00592AD4"/>
    <w:rsid w:val="00592E35"/>
    <w:rsid w:val="005940C1"/>
    <w:rsid w:val="0059566C"/>
    <w:rsid w:val="0059585E"/>
    <w:rsid w:val="00597FF8"/>
    <w:rsid w:val="005A3156"/>
    <w:rsid w:val="005A53DF"/>
    <w:rsid w:val="005A6185"/>
    <w:rsid w:val="005B052E"/>
    <w:rsid w:val="005B220B"/>
    <w:rsid w:val="005B2E19"/>
    <w:rsid w:val="005B66D2"/>
    <w:rsid w:val="005B7842"/>
    <w:rsid w:val="005C1AC7"/>
    <w:rsid w:val="005C20A4"/>
    <w:rsid w:val="005C2356"/>
    <w:rsid w:val="005C4B1B"/>
    <w:rsid w:val="005D57F1"/>
    <w:rsid w:val="005D680C"/>
    <w:rsid w:val="005E06D3"/>
    <w:rsid w:val="005E27C0"/>
    <w:rsid w:val="005E4F1C"/>
    <w:rsid w:val="005E5573"/>
    <w:rsid w:val="005E7B04"/>
    <w:rsid w:val="005F05D7"/>
    <w:rsid w:val="005F05DE"/>
    <w:rsid w:val="005F097D"/>
    <w:rsid w:val="005F1004"/>
    <w:rsid w:val="005F1FAE"/>
    <w:rsid w:val="005F38B4"/>
    <w:rsid w:val="005F42AD"/>
    <w:rsid w:val="005F4E40"/>
    <w:rsid w:val="005F56A6"/>
    <w:rsid w:val="005F6041"/>
    <w:rsid w:val="005F7E99"/>
    <w:rsid w:val="006000DB"/>
    <w:rsid w:val="00601081"/>
    <w:rsid w:val="006012C6"/>
    <w:rsid w:val="00603143"/>
    <w:rsid w:val="00603239"/>
    <w:rsid w:val="0060473D"/>
    <w:rsid w:val="006053DC"/>
    <w:rsid w:val="00607A61"/>
    <w:rsid w:val="00611110"/>
    <w:rsid w:val="006127D4"/>
    <w:rsid w:val="00614547"/>
    <w:rsid w:val="00614D4B"/>
    <w:rsid w:val="00616DFB"/>
    <w:rsid w:val="0061700F"/>
    <w:rsid w:val="00617630"/>
    <w:rsid w:val="00617B27"/>
    <w:rsid w:val="00620346"/>
    <w:rsid w:val="0062074A"/>
    <w:rsid w:val="00622516"/>
    <w:rsid w:val="00622C68"/>
    <w:rsid w:val="00623125"/>
    <w:rsid w:val="0062321A"/>
    <w:rsid w:val="00623A9B"/>
    <w:rsid w:val="006241EE"/>
    <w:rsid w:val="00627ACD"/>
    <w:rsid w:val="00630383"/>
    <w:rsid w:val="00630B29"/>
    <w:rsid w:val="00633DA7"/>
    <w:rsid w:val="0063407C"/>
    <w:rsid w:val="00635291"/>
    <w:rsid w:val="006357BD"/>
    <w:rsid w:val="006408DC"/>
    <w:rsid w:val="006413AD"/>
    <w:rsid w:val="00641AA5"/>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365D"/>
    <w:rsid w:val="00684022"/>
    <w:rsid w:val="0068430C"/>
    <w:rsid w:val="00685237"/>
    <w:rsid w:val="00685541"/>
    <w:rsid w:val="006879E7"/>
    <w:rsid w:val="00690BB8"/>
    <w:rsid w:val="0069144C"/>
    <w:rsid w:val="0069161A"/>
    <w:rsid w:val="0069189C"/>
    <w:rsid w:val="00691D2A"/>
    <w:rsid w:val="00691E28"/>
    <w:rsid w:val="006934FA"/>
    <w:rsid w:val="006954BD"/>
    <w:rsid w:val="006978B2"/>
    <w:rsid w:val="00697DD7"/>
    <w:rsid w:val="006A451F"/>
    <w:rsid w:val="006A67C2"/>
    <w:rsid w:val="006A6A31"/>
    <w:rsid w:val="006B091B"/>
    <w:rsid w:val="006B0BCD"/>
    <w:rsid w:val="006B0CBE"/>
    <w:rsid w:val="006B1969"/>
    <w:rsid w:val="006B2F1E"/>
    <w:rsid w:val="006B3DD7"/>
    <w:rsid w:val="006B48F1"/>
    <w:rsid w:val="006B6F57"/>
    <w:rsid w:val="006C20D8"/>
    <w:rsid w:val="006C2D21"/>
    <w:rsid w:val="006C3B93"/>
    <w:rsid w:val="006C60A2"/>
    <w:rsid w:val="006C6193"/>
    <w:rsid w:val="006D0533"/>
    <w:rsid w:val="006D436D"/>
    <w:rsid w:val="006D5430"/>
    <w:rsid w:val="006D5F00"/>
    <w:rsid w:val="006D63EF"/>
    <w:rsid w:val="006D7C19"/>
    <w:rsid w:val="006D7CA8"/>
    <w:rsid w:val="006E2FE4"/>
    <w:rsid w:val="006E36C6"/>
    <w:rsid w:val="006E3B73"/>
    <w:rsid w:val="006E5719"/>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682"/>
    <w:rsid w:val="00705FA1"/>
    <w:rsid w:val="00707E83"/>
    <w:rsid w:val="00711E45"/>
    <w:rsid w:val="007165B5"/>
    <w:rsid w:val="007165BE"/>
    <w:rsid w:val="007200FA"/>
    <w:rsid w:val="0072288C"/>
    <w:rsid w:val="00723530"/>
    <w:rsid w:val="0072469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51F0"/>
    <w:rsid w:val="00765D32"/>
    <w:rsid w:val="007705A1"/>
    <w:rsid w:val="00770F43"/>
    <w:rsid w:val="00771468"/>
    <w:rsid w:val="007719AC"/>
    <w:rsid w:val="00773686"/>
    <w:rsid w:val="00774A57"/>
    <w:rsid w:val="00776A65"/>
    <w:rsid w:val="00776AD0"/>
    <w:rsid w:val="00780871"/>
    <w:rsid w:val="00785CD5"/>
    <w:rsid w:val="00786DD7"/>
    <w:rsid w:val="00787A57"/>
    <w:rsid w:val="00787B7D"/>
    <w:rsid w:val="00790441"/>
    <w:rsid w:val="00792A3E"/>
    <w:rsid w:val="00792D48"/>
    <w:rsid w:val="00793203"/>
    <w:rsid w:val="007933D2"/>
    <w:rsid w:val="007938C0"/>
    <w:rsid w:val="00794677"/>
    <w:rsid w:val="00795931"/>
    <w:rsid w:val="00796A2A"/>
    <w:rsid w:val="007A053E"/>
    <w:rsid w:val="007A2A69"/>
    <w:rsid w:val="007A6821"/>
    <w:rsid w:val="007B055F"/>
    <w:rsid w:val="007B0BAC"/>
    <w:rsid w:val="007B289A"/>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5F5A"/>
    <w:rsid w:val="007E6E32"/>
    <w:rsid w:val="007E771D"/>
    <w:rsid w:val="007F1AD0"/>
    <w:rsid w:val="007F348A"/>
    <w:rsid w:val="007F3DA7"/>
    <w:rsid w:val="007F4203"/>
    <w:rsid w:val="007F502E"/>
    <w:rsid w:val="007F65F6"/>
    <w:rsid w:val="007F6A42"/>
    <w:rsid w:val="008013CA"/>
    <w:rsid w:val="008032AF"/>
    <w:rsid w:val="008056CF"/>
    <w:rsid w:val="00806C7C"/>
    <w:rsid w:val="0080728E"/>
    <w:rsid w:val="00811A11"/>
    <w:rsid w:val="00812603"/>
    <w:rsid w:val="00814945"/>
    <w:rsid w:val="00814985"/>
    <w:rsid w:val="008160BF"/>
    <w:rsid w:val="00816F96"/>
    <w:rsid w:val="008170EC"/>
    <w:rsid w:val="008175D4"/>
    <w:rsid w:val="00823AF8"/>
    <w:rsid w:val="00824F00"/>
    <w:rsid w:val="00825004"/>
    <w:rsid w:val="0082518A"/>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A12"/>
    <w:rsid w:val="00856F99"/>
    <w:rsid w:val="008609B3"/>
    <w:rsid w:val="00860FE6"/>
    <w:rsid w:val="00864140"/>
    <w:rsid w:val="0086427A"/>
    <w:rsid w:val="00864D17"/>
    <w:rsid w:val="008702BF"/>
    <w:rsid w:val="008711B4"/>
    <w:rsid w:val="008719B2"/>
    <w:rsid w:val="008719DB"/>
    <w:rsid w:val="00872250"/>
    <w:rsid w:val="00873167"/>
    <w:rsid w:val="008731B8"/>
    <w:rsid w:val="00873D16"/>
    <w:rsid w:val="00874735"/>
    <w:rsid w:val="008768D2"/>
    <w:rsid w:val="008772F4"/>
    <w:rsid w:val="00880248"/>
    <w:rsid w:val="00880F6C"/>
    <w:rsid w:val="008855E2"/>
    <w:rsid w:val="00885E69"/>
    <w:rsid w:val="00886047"/>
    <w:rsid w:val="00886521"/>
    <w:rsid w:val="00887F76"/>
    <w:rsid w:val="00890083"/>
    <w:rsid w:val="0089021E"/>
    <w:rsid w:val="00891E7C"/>
    <w:rsid w:val="00891E8C"/>
    <w:rsid w:val="008937A3"/>
    <w:rsid w:val="0089509A"/>
    <w:rsid w:val="00896FB8"/>
    <w:rsid w:val="008A0087"/>
    <w:rsid w:val="008A4FE1"/>
    <w:rsid w:val="008A5E28"/>
    <w:rsid w:val="008A7884"/>
    <w:rsid w:val="008B0715"/>
    <w:rsid w:val="008B302A"/>
    <w:rsid w:val="008B4198"/>
    <w:rsid w:val="008B4609"/>
    <w:rsid w:val="008B5792"/>
    <w:rsid w:val="008B725C"/>
    <w:rsid w:val="008C1D6D"/>
    <w:rsid w:val="008C3F98"/>
    <w:rsid w:val="008C4684"/>
    <w:rsid w:val="008C594A"/>
    <w:rsid w:val="008C5C15"/>
    <w:rsid w:val="008D1DAC"/>
    <w:rsid w:val="008D23AF"/>
    <w:rsid w:val="008D3A05"/>
    <w:rsid w:val="008D3E0C"/>
    <w:rsid w:val="008D681A"/>
    <w:rsid w:val="008D6B1A"/>
    <w:rsid w:val="008D6D38"/>
    <w:rsid w:val="008E0617"/>
    <w:rsid w:val="008E1C51"/>
    <w:rsid w:val="008E5B71"/>
    <w:rsid w:val="008E705E"/>
    <w:rsid w:val="008E74B4"/>
    <w:rsid w:val="008F2453"/>
    <w:rsid w:val="008F34E9"/>
    <w:rsid w:val="00902833"/>
    <w:rsid w:val="009039E2"/>
    <w:rsid w:val="0091196A"/>
    <w:rsid w:val="00911DC9"/>
    <w:rsid w:val="009123FF"/>
    <w:rsid w:val="009164CD"/>
    <w:rsid w:val="00916C40"/>
    <w:rsid w:val="00917271"/>
    <w:rsid w:val="0091740C"/>
    <w:rsid w:val="00922A9F"/>
    <w:rsid w:val="009233DD"/>
    <w:rsid w:val="009233F9"/>
    <w:rsid w:val="00925478"/>
    <w:rsid w:val="00925A8F"/>
    <w:rsid w:val="00925D8E"/>
    <w:rsid w:val="009269F5"/>
    <w:rsid w:val="00930CAD"/>
    <w:rsid w:val="00934ADA"/>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37F"/>
    <w:rsid w:val="0096081E"/>
    <w:rsid w:val="0096137E"/>
    <w:rsid w:val="00961C60"/>
    <w:rsid w:val="00961E92"/>
    <w:rsid w:val="009636FE"/>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54BB"/>
    <w:rsid w:val="009C2086"/>
    <w:rsid w:val="009C3006"/>
    <w:rsid w:val="009C7D32"/>
    <w:rsid w:val="009D159F"/>
    <w:rsid w:val="009D2A16"/>
    <w:rsid w:val="009D2EA0"/>
    <w:rsid w:val="009D435C"/>
    <w:rsid w:val="009D4DB6"/>
    <w:rsid w:val="009D6952"/>
    <w:rsid w:val="009D7F9A"/>
    <w:rsid w:val="009E068F"/>
    <w:rsid w:val="009E1B89"/>
    <w:rsid w:val="009E619C"/>
    <w:rsid w:val="009E7020"/>
    <w:rsid w:val="009E7045"/>
    <w:rsid w:val="009E748B"/>
    <w:rsid w:val="009F2244"/>
    <w:rsid w:val="009F2D46"/>
    <w:rsid w:val="009F3D12"/>
    <w:rsid w:val="009F51E2"/>
    <w:rsid w:val="009F572B"/>
    <w:rsid w:val="00A03D3F"/>
    <w:rsid w:val="00A04BEB"/>
    <w:rsid w:val="00A04DE2"/>
    <w:rsid w:val="00A06515"/>
    <w:rsid w:val="00A10FE1"/>
    <w:rsid w:val="00A11A20"/>
    <w:rsid w:val="00A11DFB"/>
    <w:rsid w:val="00A11F1E"/>
    <w:rsid w:val="00A14BA5"/>
    <w:rsid w:val="00A15C80"/>
    <w:rsid w:val="00A15DA4"/>
    <w:rsid w:val="00A20607"/>
    <w:rsid w:val="00A20770"/>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40BA8"/>
    <w:rsid w:val="00A4230E"/>
    <w:rsid w:val="00A44BE1"/>
    <w:rsid w:val="00A4500D"/>
    <w:rsid w:val="00A504A8"/>
    <w:rsid w:val="00A529EC"/>
    <w:rsid w:val="00A53DD7"/>
    <w:rsid w:val="00A542B8"/>
    <w:rsid w:val="00A54719"/>
    <w:rsid w:val="00A5709E"/>
    <w:rsid w:val="00A60A47"/>
    <w:rsid w:val="00A612B9"/>
    <w:rsid w:val="00A665FB"/>
    <w:rsid w:val="00A66B14"/>
    <w:rsid w:val="00A66CF8"/>
    <w:rsid w:val="00A71C52"/>
    <w:rsid w:val="00A72173"/>
    <w:rsid w:val="00A727DA"/>
    <w:rsid w:val="00A74F48"/>
    <w:rsid w:val="00A756EC"/>
    <w:rsid w:val="00A815A9"/>
    <w:rsid w:val="00A81A3A"/>
    <w:rsid w:val="00A83745"/>
    <w:rsid w:val="00A83E6C"/>
    <w:rsid w:val="00A84D8D"/>
    <w:rsid w:val="00A854F8"/>
    <w:rsid w:val="00A900AE"/>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20F7"/>
    <w:rsid w:val="00AB3399"/>
    <w:rsid w:val="00AB3D67"/>
    <w:rsid w:val="00AC1E06"/>
    <w:rsid w:val="00AC4276"/>
    <w:rsid w:val="00AC464D"/>
    <w:rsid w:val="00AC51E8"/>
    <w:rsid w:val="00AC57DE"/>
    <w:rsid w:val="00AC6ACD"/>
    <w:rsid w:val="00AD06A2"/>
    <w:rsid w:val="00AD0CA9"/>
    <w:rsid w:val="00AD1C5F"/>
    <w:rsid w:val="00AD2407"/>
    <w:rsid w:val="00AD2F9B"/>
    <w:rsid w:val="00AD5EB1"/>
    <w:rsid w:val="00AD62D8"/>
    <w:rsid w:val="00AD72C3"/>
    <w:rsid w:val="00AD77E9"/>
    <w:rsid w:val="00AE1632"/>
    <w:rsid w:val="00AE447A"/>
    <w:rsid w:val="00AE49A7"/>
    <w:rsid w:val="00AE5146"/>
    <w:rsid w:val="00AE55C5"/>
    <w:rsid w:val="00AE5A4F"/>
    <w:rsid w:val="00AE6110"/>
    <w:rsid w:val="00AE6D4D"/>
    <w:rsid w:val="00AE7B16"/>
    <w:rsid w:val="00AF0B65"/>
    <w:rsid w:val="00AF6F39"/>
    <w:rsid w:val="00AF7EEF"/>
    <w:rsid w:val="00B002E0"/>
    <w:rsid w:val="00B0053F"/>
    <w:rsid w:val="00B0132A"/>
    <w:rsid w:val="00B029C1"/>
    <w:rsid w:val="00B03252"/>
    <w:rsid w:val="00B07968"/>
    <w:rsid w:val="00B07B19"/>
    <w:rsid w:val="00B10FBA"/>
    <w:rsid w:val="00B1189C"/>
    <w:rsid w:val="00B12666"/>
    <w:rsid w:val="00B126DA"/>
    <w:rsid w:val="00B142B2"/>
    <w:rsid w:val="00B15903"/>
    <w:rsid w:val="00B166C8"/>
    <w:rsid w:val="00B23604"/>
    <w:rsid w:val="00B243E6"/>
    <w:rsid w:val="00B2566A"/>
    <w:rsid w:val="00B2704A"/>
    <w:rsid w:val="00B40462"/>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5BF6"/>
    <w:rsid w:val="00B670CE"/>
    <w:rsid w:val="00B67B79"/>
    <w:rsid w:val="00B67E74"/>
    <w:rsid w:val="00B709BD"/>
    <w:rsid w:val="00B716F8"/>
    <w:rsid w:val="00B82234"/>
    <w:rsid w:val="00B8229B"/>
    <w:rsid w:val="00B8283E"/>
    <w:rsid w:val="00B837AA"/>
    <w:rsid w:val="00B85E06"/>
    <w:rsid w:val="00B87D03"/>
    <w:rsid w:val="00B87F88"/>
    <w:rsid w:val="00B909E8"/>
    <w:rsid w:val="00B928EE"/>
    <w:rsid w:val="00B92AD5"/>
    <w:rsid w:val="00B94BA4"/>
    <w:rsid w:val="00B97DB5"/>
    <w:rsid w:val="00BA103C"/>
    <w:rsid w:val="00BA2041"/>
    <w:rsid w:val="00BA40DC"/>
    <w:rsid w:val="00BA6A67"/>
    <w:rsid w:val="00BB156E"/>
    <w:rsid w:val="00BB27C1"/>
    <w:rsid w:val="00BB3ABA"/>
    <w:rsid w:val="00BB4FEC"/>
    <w:rsid w:val="00BB65B1"/>
    <w:rsid w:val="00BB69D5"/>
    <w:rsid w:val="00BC03E1"/>
    <w:rsid w:val="00BC1A92"/>
    <w:rsid w:val="00BC4593"/>
    <w:rsid w:val="00BC637D"/>
    <w:rsid w:val="00BD05BF"/>
    <w:rsid w:val="00BD1A5F"/>
    <w:rsid w:val="00BD3B45"/>
    <w:rsid w:val="00BD464A"/>
    <w:rsid w:val="00BD58EB"/>
    <w:rsid w:val="00BD6CFB"/>
    <w:rsid w:val="00BE28BE"/>
    <w:rsid w:val="00BE2902"/>
    <w:rsid w:val="00BE42CB"/>
    <w:rsid w:val="00BE6162"/>
    <w:rsid w:val="00BE6C9C"/>
    <w:rsid w:val="00BF0409"/>
    <w:rsid w:val="00BF0850"/>
    <w:rsid w:val="00BF3613"/>
    <w:rsid w:val="00BF37B7"/>
    <w:rsid w:val="00BF3CE6"/>
    <w:rsid w:val="00BF5C82"/>
    <w:rsid w:val="00BF7A5E"/>
    <w:rsid w:val="00C0085D"/>
    <w:rsid w:val="00C00E47"/>
    <w:rsid w:val="00C010AA"/>
    <w:rsid w:val="00C013EF"/>
    <w:rsid w:val="00C0168B"/>
    <w:rsid w:val="00C064FC"/>
    <w:rsid w:val="00C1166F"/>
    <w:rsid w:val="00C11D21"/>
    <w:rsid w:val="00C11EFC"/>
    <w:rsid w:val="00C1675F"/>
    <w:rsid w:val="00C172FB"/>
    <w:rsid w:val="00C21F2D"/>
    <w:rsid w:val="00C22A96"/>
    <w:rsid w:val="00C23439"/>
    <w:rsid w:val="00C27213"/>
    <w:rsid w:val="00C278C2"/>
    <w:rsid w:val="00C32425"/>
    <w:rsid w:val="00C33DEA"/>
    <w:rsid w:val="00C340C6"/>
    <w:rsid w:val="00C353D0"/>
    <w:rsid w:val="00C35AE1"/>
    <w:rsid w:val="00C363FA"/>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57C9"/>
    <w:rsid w:val="00C663D3"/>
    <w:rsid w:val="00C67235"/>
    <w:rsid w:val="00C67382"/>
    <w:rsid w:val="00C70488"/>
    <w:rsid w:val="00C72471"/>
    <w:rsid w:val="00C72B4C"/>
    <w:rsid w:val="00C7616F"/>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C58E1"/>
    <w:rsid w:val="00CD229F"/>
    <w:rsid w:val="00CD4B35"/>
    <w:rsid w:val="00CE2D1F"/>
    <w:rsid w:val="00CE52F0"/>
    <w:rsid w:val="00CE6624"/>
    <w:rsid w:val="00CF18A3"/>
    <w:rsid w:val="00CF356A"/>
    <w:rsid w:val="00CF4A61"/>
    <w:rsid w:val="00D027C6"/>
    <w:rsid w:val="00D029CB"/>
    <w:rsid w:val="00D04274"/>
    <w:rsid w:val="00D05A8B"/>
    <w:rsid w:val="00D0617E"/>
    <w:rsid w:val="00D065B1"/>
    <w:rsid w:val="00D06659"/>
    <w:rsid w:val="00D0699D"/>
    <w:rsid w:val="00D076EF"/>
    <w:rsid w:val="00D1447E"/>
    <w:rsid w:val="00D164B7"/>
    <w:rsid w:val="00D1747A"/>
    <w:rsid w:val="00D205D0"/>
    <w:rsid w:val="00D21306"/>
    <w:rsid w:val="00D2151A"/>
    <w:rsid w:val="00D22151"/>
    <w:rsid w:val="00D22A2E"/>
    <w:rsid w:val="00D240AB"/>
    <w:rsid w:val="00D25CA2"/>
    <w:rsid w:val="00D26BCB"/>
    <w:rsid w:val="00D26CC6"/>
    <w:rsid w:val="00D275C6"/>
    <w:rsid w:val="00D27639"/>
    <w:rsid w:val="00D330DC"/>
    <w:rsid w:val="00D35028"/>
    <w:rsid w:val="00D369E4"/>
    <w:rsid w:val="00D41A51"/>
    <w:rsid w:val="00D42DFD"/>
    <w:rsid w:val="00D45E14"/>
    <w:rsid w:val="00D47048"/>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77EEA"/>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CCE"/>
    <w:rsid w:val="00DA7973"/>
    <w:rsid w:val="00DB3689"/>
    <w:rsid w:val="00DB3767"/>
    <w:rsid w:val="00DB39E0"/>
    <w:rsid w:val="00DB7729"/>
    <w:rsid w:val="00DC2146"/>
    <w:rsid w:val="00DC22BE"/>
    <w:rsid w:val="00DC51AD"/>
    <w:rsid w:val="00DC5F62"/>
    <w:rsid w:val="00DC7FAF"/>
    <w:rsid w:val="00DD02BA"/>
    <w:rsid w:val="00DD100B"/>
    <w:rsid w:val="00DD42F9"/>
    <w:rsid w:val="00DE05A6"/>
    <w:rsid w:val="00DE1B4A"/>
    <w:rsid w:val="00DE2CFF"/>
    <w:rsid w:val="00DE3330"/>
    <w:rsid w:val="00DE5939"/>
    <w:rsid w:val="00DF4CBC"/>
    <w:rsid w:val="00DF5370"/>
    <w:rsid w:val="00E0032E"/>
    <w:rsid w:val="00E0082E"/>
    <w:rsid w:val="00E0205D"/>
    <w:rsid w:val="00E03BE1"/>
    <w:rsid w:val="00E048C6"/>
    <w:rsid w:val="00E0737F"/>
    <w:rsid w:val="00E1018A"/>
    <w:rsid w:val="00E120F4"/>
    <w:rsid w:val="00E12A4C"/>
    <w:rsid w:val="00E153F6"/>
    <w:rsid w:val="00E15F7E"/>
    <w:rsid w:val="00E173DF"/>
    <w:rsid w:val="00E24866"/>
    <w:rsid w:val="00E2780E"/>
    <w:rsid w:val="00E27FC2"/>
    <w:rsid w:val="00E31912"/>
    <w:rsid w:val="00E31B60"/>
    <w:rsid w:val="00E31D33"/>
    <w:rsid w:val="00E34D88"/>
    <w:rsid w:val="00E353DB"/>
    <w:rsid w:val="00E36375"/>
    <w:rsid w:val="00E40D48"/>
    <w:rsid w:val="00E40DBF"/>
    <w:rsid w:val="00E42C98"/>
    <w:rsid w:val="00E43798"/>
    <w:rsid w:val="00E43842"/>
    <w:rsid w:val="00E43FB9"/>
    <w:rsid w:val="00E4554C"/>
    <w:rsid w:val="00E468CA"/>
    <w:rsid w:val="00E473B4"/>
    <w:rsid w:val="00E47CAE"/>
    <w:rsid w:val="00E47D3F"/>
    <w:rsid w:val="00E47DDB"/>
    <w:rsid w:val="00E521EE"/>
    <w:rsid w:val="00E5306E"/>
    <w:rsid w:val="00E547B5"/>
    <w:rsid w:val="00E601F7"/>
    <w:rsid w:val="00E62B3D"/>
    <w:rsid w:val="00E6315A"/>
    <w:rsid w:val="00E63986"/>
    <w:rsid w:val="00E65554"/>
    <w:rsid w:val="00E65E86"/>
    <w:rsid w:val="00E66C3B"/>
    <w:rsid w:val="00E71B00"/>
    <w:rsid w:val="00E73C7F"/>
    <w:rsid w:val="00E740D9"/>
    <w:rsid w:val="00E81712"/>
    <w:rsid w:val="00E8224F"/>
    <w:rsid w:val="00E832E5"/>
    <w:rsid w:val="00E853FB"/>
    <w:rsid w:val="00E85E3C"/>
    <w:rsid w:val="00E877D8"/>
    <w:rsid w:val="00E92404"/>
    <w:rsid w:val="00E943EE"/>
    <w:rsid w:val="00EA0385"/>
    <w:rsid w:val="00EA3791"/>
    <w:rsid w:val="00EA4D0C"/>
    <w:rsid w:val="00EA4E53"/>
    <w:rsid w:val="00EA5F48"/>
    <w:rsid w:val="00EA6259"/>
    <w:rsid w:val="00EA63A0"/>
    <w:rsid w:val="00EA7660"/>
    <w:rsid w:val="00EA7720"/>
    <w:rsid w:val="00EA7F21"/>
    <w:rsid w:val="00EB1559"/>
    <w:rsid w:val="00EB1663"/>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FF0"/>
    <w:rsid w:val="00EE5769"/>
    <w:rsid w:val="00EE5CA6"/>
    <w:rsid w:val="00EE6916"/>
    <w:rsid w:val="00EF1335"/>
    <w:rsid w:val="00EF1557"/>
    <w:rsid w:val="00EF4AE0"/>
    <w:rsid w:val="00EF4FE8"/>
    <w:rsid w:val="00EF6FA1"/>
    <w:rsid w:val="00F012FF"/>
    <w:rsid w:val="00F01A21"/>
    <w:rsid w:val="00F046E9"/>
    <w:rsid w:val="00F04831"/>
    <w:rsid w:val="00F12DA8"/>
    <w:rsid w:val="00F1322B"/>
    <w:rsid w:val="00F13699"/>
    <w:rsid w:val="00F16AB3"/>
    <w:rsid w:val="00F241E7"/>
    <w:rsid w:val="00F25124"/>
    <w:rsid w:val="00F25BEF"/>
    <w:rsid w:val="00F270BA"/>
    <w:rsid w:val="00F308AF"/>
    <w:rsid w:val="00F32911"/>
    <w:rsid w:val="00F337F8"/>
    <w:rsid w:val="00F33B26"/>
    <w:rsid w:val="00F3464D"/>
    <w:rsid w:val="00F34704"/>
    <w:rsid w:val="00F34AA7"/>
    <w:rsid w:val="00F35208"/>
    <w:rsid w:val="00F352C8"/>
    <w:rsid w:val="00F36774"/>
    <w:rsid w:val="00F405D4"/>
    <w:rsid w:val="00F40AA9"/>
    <w:rsid w:val="00F40C50"/>
    <w:rsid w:val="00F4100B"/>
    <w:rsid w:val="00F42F39"/>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4971"/>
    <w:rsid w:val="00F854ED"/>
    <w:rsid w:val="00F90E30"/>
    <w:rsid w:val="00F917E4"/>
    <w:rsid w:val="00F91B00"/>
    <w:rsid w:val="00F92751"/>
    <w:rsid w:val="00F9424D"/>
    <w:rsid w:val="00F94D96"/>
    <w:rsid w:val="00F94DFC"/>
    <w:rsid w:val="00F96BAD"/>
    <w:rsid w:val="00F971E1"/>
    <w:rsid w:val="00FA34B5"/>
    <w:rsid w:val="00FB0158"/>
    <w:rsid w:val="00FB06CF"/>
    <w:rsid w:val="00FB16BC"/>
    <w:rsid w:val="00FB25A0"/>
    <w:rsid w:val="00FB2B68"/>
    <w:rsid w:val="00FB2D7C"/>
    <w:rsid w:val="00FB4F37"/>
    <w:rsid w:val="00FB5AB0"/>
    <w:rsid w:val="00FB79F1"/>
    <w:rsid w:val="00FB7E5A"/>
    <w:rsid w:val="00FC38FF"/>
    <w:rsid w:val="00FC6E54"/>
    <w:rsid w:val="00FC7104"/>
    <w:rsid w:val="00FC7D38"/>
    <w:rsid w:val="00FD1379"/>
    <w:rsid w:val="00FD238F"/>
    <w:rsid w:val="00FD33A2"/>
    <w:rsid w:val="00FD6206"/>
    <w:rsid w:val="00FE09E7"/>
    <w:rsid w:val="00FE2161"/>
    <w:rsid w:val="00FE58B6"/>
    <w:rsid w:val="00FE7430"/>
    <w:rsid w:val="00FF0471"/>
    <w:rsid w:val="00FF0771"/>
    <w:rsid w:val="00FF0AAD"/>
    <w:rsid w:val="00FF29CE"/>
    <w:rsid w:val="00FF2E7C"/>
    <w:rsid w:val="00FF33F4"/>
    <w:rsid w:val="00FF3FC8"/>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E10DC"/>
    <w:rsid w:val="07CE2E21"/>
    <w:rsid w:val="07D029D5"/>
    <w:rsid w:val="07D37F63"/>
    <w:rsid w:val="07D74616"/>
    <w:rsid w:val="07D74975"/>
    <w:rsid w:val="07DE52F0"/>
    <w:rsid w:val="07E53D87"/>
    <w:rsid w:val="07EF7EE5"/>
    <w:rsid w:val="08141163"/>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41647C"/>
    <w:rsid w:val="0A436C11"/>
    <w:rsid w:val="0A4B558F"/>
    <w:rsid w:val="0A4C3F6C"/>
    <w:rsid w:val="0A651D55"/>
    <w:rsid w:val="0A65570E"/>
    <w:rsid w:val="0A6902A8"/>
    <w:rsid w:val="0A8133A9"/>
    <w:rsid w:val="0A8462A8"/>
    <w:rsid w:val="0A8673AB"/>
    <w:rsid w:val="0A9541D2"/>
    <w:rsid w:val="0A9776E0"/>
    <w:rsid w:val="0AA77F22"/>
    <w:rsid w:val="0AAE3FA8"/>
    <w:rsid w:val="0AD647A5"/>
    <w:rsid w:val="0B016C3A"/>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59165E"/>
    <w:rsid w:val="0C635DBE"/>
    <w:rsid w:val="0C755CB5"/>
    <w:rsid w:val="0C7E353C"/>
    <w:rsid w:val="0C8B0E25"/>
    <w:rsid w:val="0CA33EBA"/>
    <w:rsid w:val="0CA95178"/>
    <w:rsid w:val="0CB04A70"/>
    <w:rsid w:val="0CB85851"/>
    <w:rsid w:val="0CBC4ED4"/>
    <w:rsid w:val="0CC529AD"/>
    <w:rsid w:val="0CCC596D"/>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6E7567"/>
    <w:rsid w:val="0D791AD7"/>
    <w:rsid w:val="0D7A3592"/>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C61C1"/>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F1287"/>
    <w:rsid w:val="0F685729"/>
    <w:rsid w:val="0F6A6BC7"/>
    <w:rsid w:val="0F70152C"/>
    <w:rsid w:val="0F771FDC"/>
    <w:rsid w:val="0F787C58"/>
    <w:rsid w:val="0F8228D1"/>
    <w:rsid w:val="0F8C02E9"/>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A1788B"/>
    <w:rsid w:val="10A43091"/>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80192E"/>
    <w:rsid w:val="168521B8"/>
    <w:rsid w:val="16A208E0"/>
    <w:rsid w:val="16A24B43"/>
    <w:rsid w:val="16A5270A"/>
    <w:rsid w:val="16B56C2D"/>
    <w:rsid w:val="16C938F5"/>
    <w:rsid w:val="16D00C06"/>
    <w:rsid w:val="16D61CD9"/>
    <w:rsid w:val="16D81ED4"/>
    <w:rsid w:val="16DB1E7A"/>
    <w:rsid w:val="16DC56B6"/>
    <w:rsid w:val="16E22E42"/>
    <w:rsid w:val="16E74CBD"/>
    <w:rsid w:val="16E7547E"/>
    <w:rsid w:val="16F6268C"/>
    <w:rsid w:val="17053724"/>
    <w:rsid w:val="170B79C5"/>
    <w:rsid w:val="17117E2B"/>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8C3829"/>
    <w:rsid w:val="18A5771F"/>
    <w:rsid w:val="18A90685"/>
    <w:rsid w:val="18AF74E1"/>
    <w:rsid w:val="18CB7663"/>
    <w:rsid w:val="18CD0844"/>
    <w:rsid w:val="18D45411"/>
    <w:rsid w:val="18D63AE2"/>
    <w:rsid w:val="18F8655D"/>
    <w:rsid w:val="18FE2979"/>
    <w:rsid w:val="19057478"/>
    <w:rsid w:val="190E7C32"/>
    <w:rsid w:val="19160144"/>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812A7A"/>
    <w:rsid w:val="20984E4E"/>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621765"/>
    <w:rsid w:val="216E764F"/>
    <w:rsid w:val="217215FD"/>
    <w:rsid w:val="21737460"/>
    <w:rsid w:val="2176492F"/>
    <w:rsid w:val="217F5FEA"/>
    <w:rsid w:val="218616DA"/>
    <w:rsid w:val="21AA139D"/>
    <w:rsid w:val="21B56E0C"/>
    <w:rsid w:val="21C2768F"/>
    <w:rsid w:val="21D634F4"/>
    <w:rsid w:val="21D912D2"/>
    <w:rsid w:val="21E26D67"/>
    <w:rsid w:val="21E34612"/>
    <w:rsid w:val="21EC5465"/>
    <w:rsid w:val="21F0049D"/>
    <w:rsid w:val="21FC4A83"/>
    <w:rsid w:val="220348F7"/>
    <w:rsid w:val="220710B9"/>
    <w:rsid w:val="22156802"/>
    <w:rsid w:val="22273871"/>
    <w:rsid w:val="223A1D76"/>
    <w:rsid w:val="2243324F"/>
    <w:rsid w:val="226709A2"/>
    <w:rsid w:val="22810C1D"/>
    <w:rsid w:val="228B310C"/>
    <w:rsid w:val="22A47B87"/>
    <w:rsid w:val="22B21FB3"/>
    <w:rsid w:val="22B372CC"/>
    <w:rsid w:val="22C0384D"/>
    <w:rsid w:val="22C22C57"/>
    <w:rsid w:val="22DD7E0F"/>
    <w:rsid w:val="23105512"/>
    <w:rsid w:val="233272DB"/>
    <w:rsid w:val="23491C4F"/>
    <w:rsid w:val="234E59AA"/>
    <w:rsid w:val="235C2ECF"/>
    <w:rsid w:val="23710ED9"/>
    <w:rsid w:val="2376738D"/>
    <w:rsid w:val="237E1D10"/>
    <w:rsid w:val="23891D0E"/>
    <w:rsid w:val="23925C55"/>
    <w:rsid w:val="23976015"/>
    <w:rsid w:val="23A236DD"/>
    <w:rsid w:val="23B21CC7"/>
    <w:rsid w:val="23BC1A29"/>
    <w:rsid w:val="23E863E8"/>
    <w:rsid w:val="23EF6864"/>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A449A7"/>
    <w:rsid w:val="27B24E9C"/>
    <w:rsid w:val="27BC433E"/>
    <w:rsid w:val="27CE139A"/>
    <w:rsid w:val="27E25E49"/>
    <w:rsid w:val="27E63AB6"/>
    <w:rsid w:val="27ED5A7F"/>
    <w:rsid w:val="27F231DD"/>
    <w:rsid w:val="28177493"/>
    <w:rsid w:val="281D7B4E"/>
    <w:rsid w:val="282B4784"/>
    <w:rsid w:val="283C5A70"/>
    <w:rsid w:val="2845270C"/>
    <w:rsid w:val="284A470E"/>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929F3"/>
    <w:rsid w:val="298D0F22"/>
    <w:rsid w:val="29AC7F64"/>
    <w:rsid w:val="29B025A4"/>
    <w:rsid w:val="29B25CE9"/>
    <w:rsid w:val="29B5714B"/>
    <w:rsid w:val="29B82AFC"/>
    <w:rsid w:val="29CD5CFE"/>
    <w:rsid w:val="29DC6F28"/>
    <w:rsid w:val="29F101FE"/>
    <w:rsid w:val="29F83E3A"/>
    <w:rsid w:val="29FC0A34"/>
    <w:rsid w:val="2A065B82"/>
    <w:rsid w:val="2A1D3820"/>
    <w:rsid w:val="2A2033C1"/>
    <w:rsid w:val="2A414207"/>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84C2B"/>
    <w:rsid w:val="2AEA3C35"/>
    <w:rsid w:val="2AEA4EB9"/>
    <w:rsid w:val="2AEC22C7"/>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C0291"/>
    <w:rsid w:val="2DAA0825"/>
    <w:rsid w:val="2DAC1EAF"/>
    <w:rsid w:val="2DBC78D6"/>
    <w:rsid w:val="2DC337EC"/>
    <w:rsid w:val="2DD229E6"/>
    <w:rsid w:val="2DD26B85"/>
    <w:rsid w:val="2DD73448"/>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E4DCB"/>
    <w:rsid w:val="2F8F7CEB"/>
    <w:rsid w:val="2F9155B2"/>
    <w:rsid w:val="2F9B7763"/>
    <w:rsid w:val="2F9D7E04"/>
    <w:rsid w:val="2FA11D30"/>
    <w:rsid w:val="2FAA5E1A"/>
    <w:rsid w:val="2FAB4623"/>
    <w:rsid w:val="2FC46E3A"/>
    <w:rsid w:val="2FC57F08"/>
    <w:rsid w:val="2FC61141"/>
    <w:rsid w:val="2FD32A7A"/>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FD79BE"/>
    <w:rsid w:val="3100405D"/>
    <w:rsid w:val="31174211"/>
    <w:rsid w:val="311E1784"/>
    <w:rsid w:val="311F60D7"/>
    <w:rsid w:val="31216170"/>
    <w:rsid w:val="31317087"/>
    <w:rsid w:val="31330D64"/>
    <w:rsid w:val="3146283D"/>
    <w:rsid w:val="315D1164"/>
    <w:rsid w:val="315F2BB6"/>
    <w:rsid w:val="3173104B"/>
    <w:rsid w:val="317D6B35"/>
    <w:rsid w:val="31902AB1"/>
    <w:rsid w:val="319D0930"/>
    <w:rsid w:val="31A30319"/>
    <w:rsid w:val="31B25CF4"/>
    <w:rsid w:val="31B50898"/>
    <w:rsid w:val="31B62FDB"/>
    <w:rsid w:val="31BA2482"/>
    <w:rsid w:val="31BE47CA"/>
    <w:rsid w:val="31CA1784"/>
    <w:rsid w:val="31CC089F"/>
    <w:rsid w:val="31D01CA2"/>
    <w:rsid w:val="31DF176C"/>
    <w:rsid w:val="31F45A41"/>
    <w:rsid w:val="31FF4B7E"/>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E68F1"/>
    <w:rsid w:val="342105B8"/>
    <w:rsid w:val="34217FBA"/>
    <w:rsid w:val="3439248A"/>
    <w:rsid w:val="343B008C"/>
    <w:rsid w:val="344267D1"/>
    <w:rsid w:val="344A237C"/>
    <w:rsid w:val="346C064E"/>
    <w:rsid w:val="346C77B6"/>
    <w:rsid w:val="34717DC6"/>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B3ABA"/>
    <w:rsid w:val="358173F3"/>
    <w:rsid w:val="35906EE4"/>
    <w:rsid w:val="35992086"/>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751F6"/>
    <w:rsid w:val="36813B36"/>
    <w:rsid w:val="3686386E"/>
    <w:rsid w:val="3689707A"/>
    <w:rsid w:val="368A2A0E"/>
    <w:rsid w:val="368D5D06"/>
    <w:rsid w:val="3697517B"/>
    <w:rsid w:val="36A562CA"/>
    <w:rsid w:val="36B42F17"/>
    <w:rsid w:val="36B813FC"/>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909782E"/>
    <w:rsid w:val="391B3E02"/>
    <w:rsid w:val="392642AC"/>
    <w:rsid w:val="39294974"/>
    <w:rsid w:val="393658EA"/>
    <w:rsid w:val="39452765"/>
    <w:rsid w:val="394579D4"/>
    <w:rsid w:val="39464B68"/>
    <w:rsid w:val="3949779B"/>
    <w:rsid w:val="397059EB"/>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B23CDE"/>
    <w:rsid w:val="4AB377ED"/>
    <w:rsid w:val="4AE04064"/>
    <w:rsid w:val="4AF15C07"/>
    <w:rsid w:val="4AF63C83"/>
    <w:rsid w:val="4AFC516F"/>
    <w:rsid w:val="4B037180"/>
    <w:rsid w:val="4B1646CF"/>
    <w:rsid w:val="4B28747E"/>
    <w:rsid w:val="4B3744E5"/>
    <w:rsid w:val="4B447E0E"/>
    <w:rsid w:val="4B48137F"/>
    <w:rsid w:val="4B6A78F2"/>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506E4"/>
    <w:rsid w:val="4C25681C"/>
    <w:rsid w:val="4C275540"/>
    <w:rsid w:val="4C3007F7"/>
    <w:rsid w:val="4C335E10"/>
    <w:rsid w:val="4C37147F"/>
    <w:rsid w:val="4C3757A8"/>
    <w:rsid w:val="4C3B67F1"/>
    <w:rsid w:val="4C3C09CE"/>
    <w:rsid w:val="4C411094"/>
    <w:rsid w:val="4C441E92"/>
    <w:rsid w:val="4C467513"/>
    <w:rsid w:val="4C50744F"/>
    <w:rsid w:val="4C572817"/>
    <w:rsid w:val="4C5A1583"/>
    <w:rsid w:val="4C6369A7"/>
    <w:rsid w:val="4C644BBF"/>
    <w:rsid w:val="4C653585"/>
    <w:rsid w:val="4C6C14CD"/>
    <w:rsid w:val="4C6C224A"/>
    <w:rsid w:val="4C787DD0"/>
    <w:rsid w:val="4C7C366B"/>
    <w:rsid w:val="4C7D636D"/>
    <w:rsid w:val="4CA35F11"/>
    <w:rsid w:val="4CC62C37"/>
    <w:rsid w:val="4CC82FE7"/>
    <w:rsid w:val="4CCB0ABF"/>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F05572E"/>
    <w:rsid w:val="4F153A2F"/>
    <w:rsid w:val="4F430F16"/>
    <w:rsid w:val="4F436C98"/>
    <w:rsid w:val="4F4A1B00"/>
    <w:rsid w:val="4F675DB8"/>
    <w:rsid w:val="4F6F7BAE"/>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731582"/>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2F5A3F"/>
    <w:rsid w:val="5346574A"/>
    <w:rsid w:val="536871EA"/>
    <w:rsid w:val="536A6F68"/>
    <w:rsid w:val="53A76CC1"/>
    <w:rsid w:val="53A84A9F"/>
    <w:rsid w:val="53BA072D"/>
    <w:rsid w:val="53BC7516"/>
    <w:rsid w:val="53C31DF3"/>
    <w:rsid w:val="53D94927"/>
    <w:rsid w:val="53E0582A"/>
    <w:rsid w:val="53EB0CCB"/>
    <w:rsid w:val="53F448C8"/>
    <w:rsid w:val="53F45339"/>
    <w:rsid w:val="53F823CE"/>
    <w:rsid w:val="53FA111D"/>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8660E"/>
    <w:rsid w:val="566B701E"/>
    <w:rsid w:val="568A7FA4"/>
    <w:rsid w:val="56952F1F"/>
    <w:rsid w:val="56B340F6"/>
    <w:rsid w:val="56CA6C7D"/>
    <w:rsid w:val="56CC2E7C"/>
    <w:rsid w:val="56CC7516"/>
    <w:rsid w:val="56D3702B"/>
    <w:rsid w:val="56E13AAA"/>
    <w:rsid w:val="56E95C47"/>
    <w:rsid w:val="56F04979"/>
    <w:rsid w:val="56F95DFD"/>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C5B42"/>
    <w:rsid w:val="5B0F1D02"/>
    <w:rsid w:val="5B167C07"/>
    <w:rsid w:val="5B17528B"/>
    <w:rsid w:val="5B24073B"/>
    <w:rsid w:val="5B265952"/>
    <w:rsid w:val="5B315B1B"/>
    <w:rsid w:val="5B3E3B02"/>
    <w:rsid w:val="5B487FEA"/>
    <w:rsid w:val="5B524538"/>
    <w:rsid w:val="5B531472"/>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51B6A"/>
    <w:rsid w:val="5C261827"/>
    <w:rsid w:val="5C2D68A0"/>
    <w:rsid w:val="5C3077B3"/>
    <w:rsid w:val="5C4417DA"/>
    <w:rsid w:val="5C4616A2"/>
    <w:rsid w:val="5C4E7EA3"/>
    <w:rsid w:val="5C5872CD"/>
    <w:rsid w:val="5C723D2D"/>
    <w:rsid w:val="5C7D6E15"/>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5555EB"/>
    <w:rsid w:val="63566139"/>
    <w:rsid w:val="635D0A00"/>
    <w:rsid w:val="635D7216"/>
    <w:rsid w:val="63655649"/>
    <w:rsid w:val="636E7708"/>
    <w:rsid w:val="63716BBE"/>
    <w:rsid w:val="63722410"/>
    <w:rsid w:val="63794C98"/>
    <w:rsid w:val="63944133"/>
    <w:rsid w:val="63C54498"/>
    <w:rsid w:val="63E9343E"/>
    <w:rsid w:val="63FA66D5"/>
    <w:rsid w:val="63FC1FB2"/>
    <w:rsid w:val="63FF12C6"/>
    <w:rsid w:val="64025685"/>
    <w:rsid w:val="640456B5"/>
    <w:rsid w:val="64051D8F"/>
    <w:rsid w:val="640F43C5"/>
    <w:rsid w:val="64121F83"/>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F7DFF"/>
    <w:rsid w:val="66200813"/>
    <w:rsid w:val="662032A0"/>
    <w:rsid w:val="66322707"/>
    <w:rsid w:val="666752FC"/>
    <w:rsid w:val="66675CA1"/>
    <w:rsid w:val="66706620"/>
    <w:rsid w:val="66753F47"/>
    <w:rsid w:val="667A0598"/>
    <w:rsid w:val="667A2800"/>
    <w:rsid w:val="66895C07"/>
    <w:rsid w:val="669022B7"/>
    <w:rsid w:val="66940A39"/>
    <w:rsid w:val="66AA682C"/>
    <w:rsid w:val="66AD2869"/>
    <w:rsid w:val="66B51F22"/>
    <w:rsid w:val="66B73366"/>
    <w:rsid w:val="66CA5E5F"/>
    <w:rsid w:val="66E710BA"/>
    <w:rsid w:val="66ED62BD"/>
    <w:rsid w:val="66F7489D"/>
    <w:rsid w:val="66FC0936"/>
    <w:rsid w:val="67164009"/>
    <w:rsid w:val="671A520A"/>
    <w:rsid w:val="67292A7D"/>
    <w:rsid w:val="672E27A7"/>
    <w:rsid w:val="673A2970"/>
    <w:rsid w:val="67514E24"/>
    <w:rsid w:val="67620408"/>
    <w:rsid w:val="676E1191"/>
    <w:rsid w:val="677878C6"/>
    <w:rsid w:val="677A2F97"/>
    <w:rsid w:val="677D444B"/>
    <w:rsid w:val="6786306B"/>
    <w:rsid w:val="678C0D30"/>
    <w:rsid w:val="678F3A8F"/>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A75489"/>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F7616"/>
    <w:rsid w:val="6AD51FFB"/>
    <w:rsid w:val="6AD86D68"/>
    <w:rsid w:val="6ADA4924"/>
    <w:rsid w:val="6ADB0495"/>
    <w:rsid w:val="6AE15310"/>
    <w:rsid w:val="6AE279A4"/>
    <w:rsid w:val="6AF27091"/>
    <w:rsid w:val="6AF533DC"/>
    <w:rsid w:val="6AF92ED3"/>
    <w:rsid w:val="6AF97AAD"/>
    <w:rsid w:val="6AFC6391"/>
    <w:rsid w:val="6AFF7979"/>
    <w:rsid w:val="6B0049FC"/>
    <w:rsid w:val="6B062F9D"/>
    <w:rsid w:val="6B0A4E87"/>
    <w:rsid w:val="6B105ECE"/>
    <w:rsid w:val="6B110489"/>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00D96"/>
    <w:rsid w:val="6D8A17FB"/>
    <w:rsid w:val="6D95593B"/>
    <w:rsid w:val="6DAB38BE"/>
    <w:rsid w:val="6DD65ED1"/>
    <w:rsid w:val="6DE63F0D"/>
    <w:rsid w:val="6DEB24F1"/>
    <w:rsid w:val="6E0C22A1"/>
    <w:rsid w:val="6E1064BE"/>
    <w:rsid w:val="6E11324D"/>
    <w:rsid w:val="6E3433E7"/>
    <w:rsid w:val="6E361F05"/>
    <w:rsid w:val="6E363CDF"/>
    <w:rsid w:val="6E3F7264"/>
    <w:rsid w:val="6E403437"/>
    <w:rsid w:val="6E527A2D"/>
    <w:rsid w:val="6E7B5445"/>
    <w:rsid w:val="6E806FDB"/>
    <w:rsid w:val="6E847F11"/>
    <w:rsid w:val="6E896858"/>
    <w:rsid w:val="6E9C3DB5"/>
    <w:rsid w:val="6E9F30D8"/>
    <w:rsid w:val="6EA0144C"/>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B94CE3"/>
    <w:rsid w:val="6FBE5CCB"/>
    <w:rsid w:val="6FC13350"/>
    <w:rsid w:val="6FC323D9"/>
    <w:rsid w:val="6FCC39AB"/>
    <w:rsid w:val="6FD638B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D7EE8"/>
    <w:rsid w:val="72251DA4"/>
    <w:rsid w:val="72511B96"/>
    <w:rsid w:val="72712929"/>
    <w:rsid w:val="72735155"/>
    <w:rsid w:val="7274287C"/>
    <w:rsid w:val="728114C6"/>
    <w:rsid w:val="7288016D"/>
    <w:rsid w:val="729446A5"/>
    <w:rsid w:val="729A2B05"/>
    <w:rsid w:val="729B764A"/>
    <w:rsid w:val="729E44D2"/>
    <w:rsid w:val="72A36B4A"/>
    <w:rsid w:val="72B375F5"/>
    <w:rsid w:val="72B42071"/>
    <w:rsid w:val="72B60E02"/>
    <w:rsid w:val="72C740ED"/>
    <w:rsid w:val="72CD5369"/>
    <w:rsid w:val="72E673CF"/>
    <w:rsid w:val="72EB533D"/>
    <w:rsid w:val="730B0B61"/>
    <w:rsid w:val="7317407A"/>
    <w:rsid w:val="731B3421"/>
    <w:rsid w:val="7323171B"/>
    <w:rsid w:val="73242CBC"/>
    <w:rsid w:val="732A411A"/>
    <w:rsid w:val="73371299"/>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5002272"/>
    <w:rsid w:val="75041807"/>
    <w:rsid w:val="75111A9D"/>
    <w:rsid w:val="752D306B"/>
    <w:rsid w:val="753022BE"/>
    <w:rsid w:val="75311E23"/>
    <w:rsid w:val="754F3919"/>
    <w:rsid w:val="75530645"/>
    <w:rsid w:val="755631A4"/>
    <w:rsid w:val="755F2C4C"/>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A260A"/>
    <w:rsid w:val="7C741B8F"/>
    <w:rsid w:val="7C8C6FF8"/>
    <w:rsid w:val="7C8D6CAE"/>
    <w:rsid w:val="7C950DB7"/>
    <w:rsid w:val="7C98405E"/>
    <w:rsid w:val="7C9F4809"/>
    <w:rsid w:val="7CA20D5A"/>
    <w:rsid w:val="7CA751A0"/>
    <w:rsid w:val="7CAC6F42"/>
    <w:rsid w:val="7CC4609E"/>
    <w:rsid w:val="7CC623BD"/>
    <w:rsid w:val="7CE048DE"/>
    <w:rsid w:val="7CE529A1"/>
    <w:rsid w:val="7CF655CB"/>
    <w:rsid w:val="7CFD2F1C"/>
    <w:rsid w:val="7D013F30"/>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4E50C4-A3F3-4592-98F3-C306ABAF0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after="160" w:line="259" w:lineRule="auto"/>
      <w:jc w:val="both"/>
    </w:pPr>
    <w:rPr>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Heading2"/>
    <w:next w:val="Normal"/>
    <w:link w:val="Heading3Char"/>
    <w:qFormat/>
    <w:pPr>
      <w:numPr>
        <w:ilvl w:val="2"/>
        <w:numId w:val="1"/>
      </w:numPr>
      <w:tabs>
        <w:tab w:val="clear" w:pos="432"/>
      </w:tabs>
      <w:spacing w:before="260" w:after="260" w:line="416" w:lineRule="auto"/>
      <w:outlineLvl w:val="2"/>
    </w:p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Heading5">
    <w:name w:val="heading 5"/>
    <w:basedOn w:val="Heading4"/>
    <w:next w:val="Normal"/>
    <w:link w:val="Heading5Char"/>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table" w:styleId="TableGrid">
    <w:name w:val="Table Grid"/>
    <w:basedOn w:val="TableNormal"/>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黑体"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spacing w:after="160" w:line="259" w:lineRule="auto"/>
    </w:pPr>
    <w:rPr>
      <w:rFonts w:ascii="宋体"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spacing w:after="160" w:line="259" w:lineRule="auto"/>
      <w:jc w:val="center"/>
    </w:pPr>
    <w:rPr>
      <w:rFonts w:ascii="宋体"/>
      <w:b/>
      <w:spacing w:val="20"/>
      <w:w w:val="135"/>
      <w:sz w:val="28"/>
    </w:rPr>
  </w:style>
  <w:style w:type="paragraph" w:customStyle="1" w:styleId="a5">
    <w:name w:val="示例"/>
    <w:next w:val="a6"/>
    <w:qFormat/>
    <w:pPr>
      <w:widowControl w:val="0"/>
      <w:spacing w:after="160" w:line="259" w:lineRule="auto"/>
      <w:ind w:left="360" w:hanging="360"/>
      <w:jc w:val="both"/>
    </w:pPr>
    <w:rPr>
      <w:rFonts w:ascii="宋体"/>
      <w:sz w:val="18"/>
      <w:szCs w:val="18"/>
    </w:rPr>
  </w:style>
  <w:style w:type="paragraph" w:customStyle="1" w:styleId="a6">
    <w:name w:val="示例内容"/>
    <w:qFormat/>
    <w:pPr>
      <w:spacing w:after="160" w:line="259" w:lineRule="auto"/>
      <w:ind w:firstLineChars="200" w:firstLine="200"/>
    </w:pPr>
    <w:rPr>
      <w:rFonts w:ascii="宋体"/>
      <w:sz w:val="18"/>
      <w:szCs w:val="18"/>
    </w:rPr>
  </w:style>
  <w:style w:type="paragraph" w:customStyle="1" w:styleId="a7">
    <w:name w:val="附录数字编号列项（二级）"/>
    <w:qFormat/>
    <w:pPr>
      <w:tabs>
        <w:tab w:val="left" w:pos="363"/>
        <w:tab w:val="left" w:pos="840"/>
      </w:tabs>
      <w:spacing w:after="160" w:line="259" w:lineRule="auto"/>
      <w:ind w:firstLine="363"/>
    </w:pPr>
    <w:rPr>
      <w:rFonts w:ascii="宋体"/>
      <w:sz w:val="21"/>
    </w:rPr>
  </w:style>
  <w:style w:type="paragraph" w:customStyle="1" w:styleId="a8">
    <w:name w:val="标准书眉_奇数页"/>
    <w:next w:val="Normal"/>
    <w:qFormat/>
    <w:pPr>
      <w:tabs>
        <w:tab w:val="center" w:pos="4154"/>
        <w:tab w:val="right" w:pos="8306"/>
      </w:tabs>
      <w:spacing w:after="220" w:line="259" w:lineRule="auto"/>
      <w:jc w:val="right"/>
    </w:pPr>
    <w:rPr>
      <w:rFonts w:ascii="黑体" w:eastAsia="黑体"/>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黑体" w:eastAsia="黑体"/>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after="160" w:line="259" w:lineRule="auto"/>
      <w:jc w:val="both"/>
      <w:outlineLvl w:val="1"/>
    </w:pPr>
    <w:rPr>
      <w:rFonts w:ascii="黑体" w:eastAsia="黑体"/>
      <w:sz w:val="21"/>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spacing w:after="160" w:line="259" w:lineRule="auto"/>
      <w:jc w:val="both"/>
    </w:pPr>
    <w:rPr>
      <w:rFonts w:ascii="宋体"/>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黑体" w:eastAsia="黑体"/>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宋体"/>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黑体" w:eastAsia="黑体"/>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宋体"/>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7">
    <w:name w:val="标准书眉一"/>
    <w:qFormat/>
    <w:pPr>
      <w:spacing w:after="160" w:line="259" w:lineRule="auto"/>
      <w:jc w:val="both"/>
    </w:p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宋体"/>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a">
    <w:name w:val="编号列项（三级）"/>
    <w:qFormat/>
    <w:pPr>
      <w:spacing w:after="160" w:line="259" w:lineRule="auto"/>
    </w:pPr>
    <w:rPr>
      <w:rFonts w:ascii="宋体"/>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宋体"/>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spacing w:after="160" w:line="259" w:lineRule="auto"/>
      <w:ind w:left="1190" w:hanging="567"/>
      <w:jc w:val="both"/>
    </w:pPr>
    <w:rPr>
      <w:rFonts w:ascii="宋体"/>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宋体"/>
      <w:sz w:val="21"/>
    </w:rPr>
  </w:style>
  <w:style w:type="paragraph" w:customStyle="1" w:styleId="affff0">
    <w:name w:val="附录字母编号列项（一级）"/>
    <w:qFormat/>
    <w:pPr>
      <w:tabs>
        <w:tab w:val="left" w:pos="839"/>
      </w:tabs>
      <w:spacing w:after="160" w:line="259" w:lineRule="auto"/>
      <w:ind w:firstLine="363"/>
    </w:pPr>
    <w:rPr>
      <w:rFonts w:ascii="宋体"/>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宋体"/>
      <w:sz w:val="21"/>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宋体"/>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宋体"/>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spacing w:after="160" w:line="259" w:lineRule="auto"/>
      <w:ind w:left="839" w:hanging="419"/>
      <w:jc w:val="both"/>
    </w:pPr>
    <w:rPr>
      <w:rFonts w:ascii="宋体"/>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宋体"/>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spacing w:after="160" w:line="259" w:lineRule="auto"/>
      <w:ind w:leftChars="400" w:left="600" w:hangingChars="200" w:hanging="200"/>
    </w:pPr>
    <w:rPr>
      <w:rFonts w:ascii="宋体"/>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after="160" w:line="259" w:lineRule="auto"/>
      <w:ind w:left="221"/>
    </w:pPr>
    <w:rPr>
      <w:rFonts w:ascii="宋体"/>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DefaultParagraphFont"/>
    <w:qFormat/>
    <w:rPr>
      <w:rFonts w:ascii="CG Times (WN)" w:eastAsia="CG Times (WN)" w:hAnsi="CG Times (WN)" w:cs="CG Times (WN)" w:hint="default"/>
    </w:rPr>
  </w:style>
  <w:style w:type="character" w:customStyle="1" w:styleId="10">
    <w:name w:val="10"/>
    <w:basedOn w:val="DefaultParagraphFont"/>
    <w:qFormat/>
    <w:rPr>
      <w:rFonts w:ascii="CG Times (WN)" w:eastAsia="CG Times (WN)" w:hAnsi="CG Times (WN)" w:cs="CG Times (WN)" w:hint="default"/>
    </w:rPr>
  </w:style>
  <w:style w:type="paragraph" w:customStyle="1" w:styleId="ListParagraph1">
    <w:name w:val="List Paragraph1"/>
    <w:basedOn w:val="Normal"/>
    <w:uiPriority w:val="34"/>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Microsoft_Visio_2003-2010___2.vsd"/><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__6.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Microsoft_Visio_2003-2010___1.vsd"/><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B32A40-7A08-4D40-9401-D5652A031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Pages>
  <Words>2294</Words>
  <Characters>13078</Characters>
  <Application>Microsoft Office Word</Application>
  <DocSecurity>0</DocSecurity>
  <Lines>108</Lines>
  <Paragraphs>30</Paragraphs>
  <ScaleCrop>false</ScaleCrop>
  <Company>www.zte.com.cn</Company>
  <LinksUpToDate>false</LinksUpToDate>
  <CharactersWithSpaces>15342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18</cp:revision>
  <cp:lastPrinted>2113-01-01T00:00:00Z</cp:lastPrinted>
  <dcterms:created xsi:type="dcterms:W3CDTF">2020-10-21T08:44:00Z</dcterms:created>
  <dcterms:modified xsi:type="dcterms:W3CDTF">2020-10-23T03:29:00Z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